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Indian J Anaesth. 2015 Apr; 59(4): 248–250.</w:t>
      </w:r>
    </w:p>
    <w:p>
      <w:pPr>
        <w:pStyle w:val="Normal"/>
        <w:rPr>
          <w:lang w:val="en-US"/>
        </w:rPr>
      </w:pPr>
      <w:r>
        <w:rPr>
          <w:lang w:val="en-US"/>
        </w:rPr>
        <w:t>doi:  </w:t>
      </w:r>
      <w:hyperlink r:id="rId2" w:tgtFrame="pmc_ext">
        <w:r>
          <w:rPr>
            <w:rStyle w:val="Hyperlink"/>
            <w:lang w:val="en-US"/>
          </w:rPr>
          <w:t>10.4103/0019-5049.155005</w:t>
        </w:r>
      </w:hyperlink>
    </w:p>
    <w:p>
      <w:pPr>
        <w:pStyle w:val="Normal"/>
        <w:rPr>
          <w:lang w:val="en-US"/>
        </w:rPr>
      </w:pPr>
      <w:r>
        <w:rPr>
          <w:lang w:val="en-US"/>
        </w:rPr>
        <w:t>PMCID: PMC4408656</w:t>
      </w:r>
    </w:p>
    <w:p>
      <w:pPr>
        <w:pStyle w:val="Normal"/>
        <w:rPr>
          <w:lang w:val="en-US"/>
        </w:rPr>
      </w:pPr>
      <w:r>
        <w:rPr>
          <w:lang w:val="en-US"/>
        </w:rPr>
        <w:t>PMID: </w:t>
      </w:r>
      <w:hyperlink r:id="rId3">
        <w:r>
          <w:rPr>
            <w:rStyle w:val="Hyperlink"/>
            <w:lang w:val="en-US"/>
          </w:rPr>
          <w:t>25937654</w:t>
        </w:r>
      </w:hyperlink>
    </w:p>
    <w:p>
      <w:pPr>
        <w:pStyle w:val="Normal"/>
        <w:rPr>
          <w:b/>
          <w:bCs/>
          <w:lang w:val="en-US"/>
        </w:rPr>
      </w:pPr>
      <w:r>
        <w:rPr>
          <w:b/>
          <w:bCs/>
          <w:lang w:val="en-US"/>
        </w:rPr>
        <w:t>Anaesthetic management of a patient with anti-NMDA receptor encephalitis</w:t>
      </w:r>
    </w:p>
    <w:p>
      <w:pPr>
        <w:pStyle w:val="Normal"/>
        <w:rPr>
          <w:lang w:val="en-US"/>
        </w:rPr>
      </w:pPr>
      <w:hyperlink r:id="rId4">
        <w:r>
          <w:rPr>
            <w:rStyle w:val="Hyperlink"/>
            <w:lang w:val="en-US"/>
          </w:rPr>
          <w:t>Mohammed Aslam Shaikh</w:t>
        </w:r>
      </w:hyperlink>
      <w:r>
        <w:rPr>
          <w:lang w:val="en-US"/>
        </w:rPr>
        <w:t>, </w:t>
      </w:r>
      <w:hyperlink r:id="rId5">
        <w:r>
          <w:rPr>
            <w:rStyle w:val="Hyperlink"/>
            <w:lang w:val="en-US"/>
          </w:rPr>
          <w:t>Tasneem Dhansura</w:t>
        </w:r>
      </w:hyperlink>
      <w:r>
        <w:rPr>
          <w:lang w:val="en-US"/>
        </w:rPr>
        <w:t>, </w:t>
      </w:r>
      <w:hyperlink r:id="rId6">
        <w:r>
          <w:rPr>
            <w:rStyle w:val="Hyperlink"/>
            <w:lang w:val="en-US"/>
          </w:rPr>
          <w:t>Shweta Gandhi</w:t>
        </w:r>
      </w:hyperlink>
      <w:r>
        <w:rPr>
          <w:lang w:val="en-US"/>
        </w:rPr>
        <w:t>, and </w:t>
      </w:r>
      <w:hyperlink r:id="rId7">
        <w:r>
          <w:rPr>
            <w:rStyle w:val="Hyperlink"/>
            <w:lang w:val="en-US"/>
          </w:rPr>
          <w:t>Tarana Shaikh</w:t>
        </w:r>
      </w:hyperlink>
    </w:p>
    <w:p>
      <w:pPr>
        <w:pStyle w:val="Normal"/>
        <w:rPr>
          <w:vanish/>
          <w:lang w:val="en"/>
        </w:rPr>
      </w:pPr>
      <w:r>
        <w:rPr>
          <w:vanish/>
          <w:lang w:val="en"/>
        </w:rPr>
        <w:t>Department of Anaesthesiology, Saifee Hospital, Mumbai, Maharashtra, India</w:t>
      </w:r>
    </w:p>
    <w:p>
      <w:pPr>
        <w:pStyle w:val="Normal"/>
        <w:rPr>
          <w:lang w:val="en-US"/>
        </w:rPr>
      </w:pPr>
      <w:r>
        <w:rPr>
          <w:b/>
          <w:bCs/>
          <w:lang w:val="en-US"/>
        </w:rPr>
        <w:t>Address for correspondence:</w:t>
      </w:r>
      <w:r>
        <w:rPr>
          <w:lang w:val="en-US"/>
        </w:rPr>
        <w:t> Dr. Tasneem Dhansura, Sunrise 12, 4</w:t>
      </w:r>
      <w:r>
        <w:rPr>
          <w:vertAlign w:val="superscript"/>
          <w:lang w:val="en-US"/>
        </w:rPr>
        <w:t>th</w:t>
      </w:r>
      <w:r>
        <w:rPr>
          <w:lang w:val="en-US"/>
        </w:rPr>
        <w:t> Pasta Lane, Colaba, Mumbai - 400 005, Maharashtra, India. E-mail: </w:t>
      </w:r>
      <w:hyperlink r:id="rId8">
        <w:r>
          <w:rPr>
            <w:rStyle w:val="Hyperlink"/>
          </w:rPr>
          <w:t>ni.oc.oohay@arusnahdst</w:t>
        </w:r>
      </w:hyperlink>
    </w:p>
    <w:p>
      <w:pPr>
        <w:pStyle w:val="Normal"/>
        <w:rPr/>
      </w:pPr>
      <w:hyperlink r:id="rId9">
        <w:r>
          <w:rPr>
            <w:rStyle w:val="Hyperlink"/>
            <w:lang w:val="en-US"/>
          </w:rPr>
          <w:t>Copyright</w:t>
        </w:r>
      </w:hyperlink>
      <w:r>
        <w:rPr>
          <w:lang w:val="en-US"/>
        </w:rPr>
        <w:t> : © Indian Journal of Anaesthesia</w:t>
      </w:r>
    </w:p>
    <w:p>
      <w:pPr>
        <w:pStyle w:val="Normal"/>
        <w:rPr>
          <w:lang w:val="en-US"/>
        </w:rPr>
      </w:pPr>
      <w:r>
        <w:rPr>
          <w:lang w:val="en-US"/>
        </w:rPr>
        <w:t>This is an open-access article distributed under the terms of the Creative Commons Attribution-Noncommercial-Share Alike 3.0 Unported, which permits unrestricted use, distribution, and reproduction in any medium, provided the original work is properly cited.</w:t>
      </w:r>
    </w:p>
    <w:p>
      <w:pPr>
        <w:pStyle w:val="Normal"/>
        <w:rPr>
          <w:lang w:val="en-US"/>
        </w:rPr>
      </w:pPr>
      <w:hyperlink r:id="rId10">
        <w:r>
          <w:rPr>
            <w:rStyle w:val="Hyperlink"/>
            <w:lang w:val="en-US"/>
          </w:rPr>
          <w:t>Go to:</w:t>
        </w:r>
      </w:hyperlink>
    </w:p>
    <w:p>
      <w:pPr>
        <w:pStyle w:val="Normal"/>
        <w:rPr>
          <w:b/>
          <w:bCs/>
          <w:lang w:val="en-US"/>
        </w:rPr>
      </w:pPr>
      <w:r>
        <w:rPr>
          <w:b/>
          <w:bCs/>
          <w:lang w:val="en-US"/>
        </w:rPr>
        <w:t>INTRODUCTION</w:t>
      </w:r>
    </w:p>
    <w:p>
      <w:pPr>
        <w:pStyle w:val="Normal"/>
        <w:rPr/>
      </w:pPr>
      <w:r>
        <w:rPr>
          <w:lang w:val="en-US"/>
        </w:rPr>
        <w:t>Anti-N-methyl-D-aspartate (NMDA) receptor (NMDA-R) encephalitis is a recently described neurological disorder, an immune-mediated encephalitis caused by production of antibodies to the NMDA-R, now a recognised cause of psychosis, movement disorders and autonomic dysfunction.[</w:t>
      </w:r>
      <w:r>
        <w:fldChar w:fldCharType="begin"/>
      </w:r>
      <w:r>
        <w:rPr>
          <w:rStyle w:val="Hyperlink"/>
          <w:lang w:val="en-US"/>
        </w:rPr>
        <w:instrText xml:space="preserve"> HYPERLINK "https://www.ncbi.nlm.nih.gov/pmc/articles/PMC4408656/?report=printable"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w:t>
      </w:r>
      <w:r>
        <w:fldChar w:fldCharType="begin"/>
      </w:r>
      <w:r>
        <w:rPr>
          <w:rStyle w:val="Hyperlink"/>
          <w:lang w:val="en-US"/>
        </w:rPr>
        <w:instrText xml:space="preserve"> HYPERLINK "https://www.ncbi.nlm.nih.gov/pmc/articles/PMC4408656/?report=printable"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 Though it is the second most frequent cause of immune-mediated encephalitis, it is usually under-diagnosed. Many anaesthetic medications interact with NMDA-Rs with risks during induction and maintenance of anaesthesia.[</w:t>
      </w:r>
      <w:r>
        <w:fldChar w:fldCharType="begin"/>
      </w:r>
      <w:r>
        <w:rPr>
          <w:rStyle w:val="Hyperlink"/>
          <w:lang w:val="en-US"/>
        </w:rPr>
        <w:instrText xml:space="preserve"> HYPERLINK "https://www.ncbi.nlm.nih.gov/pmc/articles/PMC4408656/?report=printable" \l "ref3"</w:instrText>
      </w:r>
      <w:r>
        <w:rPr>
          <w:rStyle w:val="Hyperlink"/>
          <w:lang w:val="en-US"/>
        </w:rPr>
        <w:fldChar w:fldCharType="separate"/>
      </w:r>
      <w:r>
        <w:rPr>
          <w:rStyle w:val="Hyperlink"/>
          <w:lang w:val="en-US"/>
        </w:rPr>
        <w:t>3</w:t>
      </w:r>
      <w:r>
        <w:rPr>
          <w:rStyle w:val="Hyperlink"/>
          <w:lang w:val="en-US"/>
        </w:rPr>
        <w:fldChar w:fldCharType="end"/>
      </w:r>
      <w:r>
        <w:rPr>
          <w:lang w:val="en-US"/>
        </w:rPr>
        <w:t>] We report a patient with documented anti-NMDA-R encephalitis who was scheduled for surgery for right salpingo-oophorectomy under general anaesthesia.</w:t>
      </w:r>
    </w:p>
    <w:p>
      <w:pPr>
        <w:pStyle w:val="Normal"/>
        <w:rPr>
          <w:lang w:val="en-US"/>
        </w:rPr>
      </w:pPr>
      <w:hyperlink r:id="rId11">
        <w:r>
          <w:rPr>
            <w:rStyle w:val="Hyperlink"/>
            <w:lang w:val="en-US"/>
          </w:rPr>
          <w:t>Go to:</w:t>
        </w:r>
      </w:hyperlink>
    </w:p>
    <w:p>
      <w:pPr>
        <w:pStyle w:val="Normal"/>
        <w:rPr>
          <w:b/>
          <w:bCs/>
          <w:lang w:val="en-US"/>
        </w:rPr>
      </w:pPr>
      <w:r>
        <w:rPr>
          <w:b/>
          <w:bCs/>
          <w:lang w:val="en-US"/>
        </w:rPr>
        <w:t>CASE REPORT</w:t>
      </w:r>
    </w:p>
    <w:p>
      <w:pPr>
        <w:pStyle w:val="Normal"/>
        <w:rPr/>
      </w:pPr>
      <w:r>
        <w:rPr>
          <w:lang w:val="en-US"/>
        </w:rPr>
        <w:t>A 32-year-old female (154 cm, 73 kg) with no remarkable medical history was admitted to the hospital with complaints of insomnia, headache and irrelevant talk followed by three episodes of generalised tonic clonic seizures. Electroencephalogram (EEG) showed generalised slowing with normal magnetic resonance imaging (MRI) study. She subsequently became drowsy and was intubated. Cerebrospinal fluid (CSF) showed pleocytosis with raised protein. She was being treated for aseptic meningitis with no improvement in her general condition. MRI pelvis revealed right ovarian complex cystic lesion. Limbic encephalitis was suspected because of her age, the clinical presentation and the absence of alternative aetiology. The anti NMDA-R encephalitis was confirmed by indirect fluorescent antibody test. Serum anti-NMDA antibody level of 1:160 (normal &lt; 1:10) and CSF level of 1:10 (normal &lt; 1:1). Patient was started on steroids (methylprednisolone 100 mg thrice daily) and intravenous (IV) immunoglobulins (IgG type – injection glob Ex</w:t>
      </w:r>
      <w:r>
        <w:rPr>
          <w:vertAlign w:val="superscript"/>
          <w:lang w:val="en-US"/>
        </w:rPr>
        <w:t>R</w:t>
      </w:r>
      <w:r>
        <w:rPr>
          <w:lang w:val="en-US"/>
        </w:rPr>
        <w:t> 2 g/kg over 5 days). The patient remained confused, disoriented, agitated, depressed airway reflexes requiring restraint and ventilator dependent with a tracheostomy done on 14</w:t>
      </w:r>
      <w:r>
        <w:rPr>
          <w:vertAlign w:val="superscript"/>
          <w:lang w:val="en-US"/>
        </w:rPr>
        <w:t>th</w:t>
      </w:r>
      <w:r>
        <w:rPr>
          <w:lang w:val="en-US"/>
        </w:rPr>
        <w:t xml:space="preserve"> day of admission. Subsequent neurological improvement was seen, with seizures controlled with multiple anti-convulsants. Patient was scheduled for right salpingo-oophorectomy. lasting 1 h and 45 min. No pre-medication was administered. On arrival to the operating room, her vitals were: Blood pressure of 110/70 mm Hg, heart rate of 74/min, oxygen saturation 100% on T-piece. General anaesthesia was induced with fentanyl (1 </w:t>
      </w:r>
      <w:r>
        <w:rPr>
          <w:lang w:val="it-IT"/>
        </w:rPr>
        <w:t>μ</w:t>
      </w:r>
      <w:r>
        <w:rPr>
          <w:lang w:val="en-US"/>
        </w:rPr>
        <w:t xml:space="preserve">g/kg), midazolam (0.05 mg/kg) and propofol (2mg/kg) and atracurium (0.5 mg/kg) and was maintained with fentanyl (0.3 </w:t>
      </w:r>
      <w:r>
        <w:rPr>
          <w:lang w:val="it-IT"/>
        </w:rPr>
        <w:t>μ</w:t>
      </w:r>
      <w:r>
        <w:rPr>
          <w:lang w:val="en-US"/>
        </w:rPr>
        <w:t>g/kg) IV, oxygen (1L/min) and compressed air (1.5 L/min), isoflurane (0.5%) through the tracheostomy. Patient was monitored with electrocardiography, non-invasive blood pressure, capnography, pulse oximetry and bispectral index. Surgery was completed without any complications. Patient was sent to the intensive care unit on mechanical ventilation. Subsequent follow-up after a week showed improvement in her neurological status; she was more alert with decreased convulsions, obeyed simple verbal commands. Tracheostomy was decannulated, but her psychiatric symptoms persisted with irrelevant talking and restlessness and agitation intermittently. EEG suggested improved activity. Repeat anti-NMDA-R antibodies titre was positive but reduced. She was subsequently mobilised and discharged with instructions for regular follow-up. At 3 months follow-up, she was alert, oriented, and had occasional episodes of agitation.</w:t>
      </w:r>
    </w:p>
    <w:p>
      <w:pPr>
        <w:pStyle w:val="Normal"/>
        <w:rPr>
          <w:lang w:val="en-US"/>
        </w:rPr>
      </w:pPr>
      <w:hyperlink r:id="rId12">
        <w:r>
          <w:rPr>
            <w:rStyle w:val="Hyperlink"/>
            <w:lang w:val="en-US"/>
          </w:rPr>
          <w:t>Go to:</w:t>
        </w:r>
      </w:hyperlink>
    </w:p>
    <w:p>
      <w:pPr>
        <w:pStyle w:val="Normal"/>
        <w:rPr>
          <w:b/>
          <w:bCs/>
          <w:lang w:val="en-US"/>
        </w:rPr>
      </w:pPr>
      <w:r>
        <w:rPr>
          <w:b/>
          <w:bCs/>
          <w:lang w:val="en-US"/>
        </w:rPr>
        <w:t>DISCUSSION</w:t>
      </w:r>
    </w:p>
    <w:p>
      <w:pPr>
        <w:pStyle w:val="Normal"/>
        <w:rPr/>
      </w:pPr>
      <w:r>
        <w:rPr>
          <w:lang w:val="en-US"/>
        </w:rPr>
        <w:t xml:space="preserve">N-methyl-D-aspartate receptor, </w:t>
      </w:r>
      <w:r>
        <w:rPr>
          <w:lang w:val="it-IT"/>
        </w:rPr>
        <w:t>α</w:t>
      </w:r>
      <w:r>
        <w:rPr>
          <w:lang w:val="en-US"/>
        </w:rPr>
        <w:t>-amino-5-methyl-3-hydroxy-4-isoxazole propionic acid receptor and kainate receptor are the three subtypes of ionotropic glutamate receptors. Ectopic brain tissue found in teratoma leads to the formation of anti NMDA-R antibodies and induces glutamatergic transmission impairment. NMDA-Rs are excitatory, tetrameric receptors. In NMDA-R encephalitis, NMDA-R antibodies decrease NMDA-R surface density and synaptic localisation via selective antibody-mediated capping and internalisation of surface NMDA-Rs that correlates with antibody titres.[</w:t>
      </w:r>
      <w:r>
        <w:fldChar w:fldCharType="begin"/>
      </w:r>
      <w:r>
        <w:rPr>
          <w:rStyle w:val="Hyperlink"/>
          <w:lang w:val="en-US"/>
        </w:rPr>
        <w:instrText xml:space="preserve"> HYPERLINK "https://www.ncbi.nlm.nih.gov/pmc/articles/PMC4408656/?report=printable" \l "ref4"</w:instrText>
      </w:r>
      <w:r>
        <w:rPr>
          <w:rStyle w:val="Hyperlink"/>
          <w:lang w:val="en-US"/>
        </w:rPr>
        <w:fldChar w:fldCharType="separate"/>
      </w:r>
      <w:r>
        <w:rPr>
          <w:rStyle w:val="Hyperlink"/>
          <w:lang w:val="en-US"/>
        </w:rPr>
        <w:t>4</w:t>
      </w:r>
      <w:r>
        <w:rPr>
          <w:rStyle w:val="Hyperlink"/>
          <w:lang w:val="en-US"/>
        </w:rPr>
        <w:fldChar w:fldCharType="end"/>
      </w:r>
      <w:r>
        <w:rPr>
          <w:lang w:val="en-US"/>
        </w:rPr>
        <w:t>,</w:t>
      </w:r>
      <w:r>
        <w:fldChar w:fldCharType="begin"/>
      </w:r>
      <w:r>
        <w:rPr>
          <w:rStyle w:val="Hyperlink"/>
          <w:lang w:val="en-US"/>
        </w:rPr>
        <w:instrText xml:space="preserve"> HYPERLINK "https://www.ncbi.nlm.nih.gov/pmc/articles/PMC4408656/?report=printable" \l "ref5"</w:instrText>
      </w:r>
      <w:r>
        <w:rPr>
          <w:rStyle w:val="Hyperlink"/>
          <w:lang w:val="en-US"/>
        </w:rPr>
        <w:fldChar w:fldCharType="separate"/>
      </w:r>
      <w:r>
        <w:rPr>
          <w:rStyle w:val="Hyperlink"/>
          <w:lang w:val="en-US"/>
        </w:rPr>
        <w:t>5</w:t>
      </w:r>
      <w:r>
        <w:rPr>
          <w:rStyle w:val="Hyperlink"/>
          <w:lang w:val="en-US"/>
        </w:rPr>
        <w:fldChar w:fldCharType="end"/>
      </w:r>
      <w:r>
        <w:rPr>
          <w:lang w:val="en-US"/>
        </w:rPr>
        <w:t>] Originally described by Dalmau </w:t>
      </w:r>
      <w:r>
        <w:rPr>
          <w:i/>
          <w:iCs/>
          <w:lang w:val="en-US"/>
        </w:rPr>
        <w:t>et al</w:t>
      </w:r>
      <w:r>
        <w:rPr>
          <w:lang w:val="en-US"/>
        </w:rPr>
        <w:t>., in 2007 in women of age 19–24 years, it is associated with ovarian teratomas in 54% cases.[</w:t>
      </w:r>
      <w:r>
        <w:fldChar w:fldCharType="begin"/>
      </w:r>
      <w:r>
        <w:rPr>
          <w:rStyle w:val="Hyperlink"/>
          <w:lang w:val="en-US"/>
        </w:rPr>
        <w:instrText xml:space="preserve"> HYPERLINK "https://www.ncbi.nlm.nih.gov/pmc/articles/PMC4408656/?report=printable"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 It has a characteristic presentation with psychiatric symptoms, behavioural or personality disturbances, central hypoventilation, paroxysmal sympathetic hyperactivity, seizures and then progresses to an unresponsive state during which periods of catatonia and agitation alternate.[</w:t>
      </w:r>
      <w:r>
        <w:fldChar w:fldCharType="begin"/>
      </w:r>
      <w:r>
        <w:rPr>
          <w:rStyle w:val="Hyperlink"/>
          <w:lang w:val="en-US"/>
        </w:rPr>
        <w:instrText xml:space="preserve"> HYPERLINK "https://www.ncbi.nlm.nih.gov/pmc/articles/PMC4408656/?report=printable"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w:t>
      </w:r>
      <w:r>
        <w:fldChar w:fldCharType="begin"/>
      </w:r>
      <w:r>
        <w:rPr>
          <w:rStyle w:val="Hyperlink"/>
          <w:lang w:val="en-US"/>
        </w:rPr>
        <w:instrText xml:space="preserve"> HYPERLINK "https://www.ncbi.nlm.nih.gov/pmc/articles/PMC4408656/?report=printable"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w:t>
      </w:r>
    </w:p>
    <w:p>
      <w:pPr>
        <w:pStyle w:val="Normal"/>
        <w:rPr/>
      </w:pPr>
      <w:r>
        <w:rPr>
          <w:lang w:val="en-US"/>
        </w:rPr>
        <w:t>Immunotherapy is based on steroids, and subsequently on IV immunoglobulin or plasma exchange. Early removal of an underlying tumour may be associated with a good prognosis; most of the patients fully recover or have mild sequelae after removal and immunotherapy. The improvement is over several months. Coma, psychosis and dyskinesia improve first, then social behaviour and executive function.[</w:t>
      </w:r>
      <w:r>
        <w:fldChar w:fldCharType="begin"/>
      </w:r>
      <w:r>
        <w:rPr>
          <w:rStyle w:val="Hyperlink"/>
          <w:lang w:val="en-US"/>
        </w:rPr>
        <w:instrText xml:space="preserve"> HYPERLINK "https://www.ncbi.nlm.nih.gov/pmc/articles/PMC4408656/?report=printable"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w:t>
      </w:r>
    </w:p>
    <w:p>
      <w:pPr>
        <w:pStyle w:val="Normal"/>
        <w:rPr/>
      </w:pPr>
      <w:r>
        <w:rPr>
          <w:lang w:val="en-US"/>
        </w:rPr>
        <w:t>The anaesthetic considerations are related to autonomic instability, including hyperthermia, tachycardia, hypertension and bradycardia. Various anaesthetic drugs like ketamine, propofol, opioids and inhaled agents like nitrous oxide, sevoflurane acting on NMDA-R, may behave unpredictably. Ketamine binds to phencyclidine site of ion channel of NMDA-R, acting as an antagonist to inhibit the influx of Na</w:t>
      </w:r>
      <w:r>
        <w:rPr>
          <w:vertAlign w:val="superscript"/>
          <w:lang w:val="en-US"/>
        </w:rPr>
        <w:t>+</w:t>
      </w:r>
      <w:r>
        <w:rPr>
          <w:lang w:val="en-US"/>
        </w:rPr>
        <w:t> and Ca</w:t>
      </w:r>
      <w:r>
        <w:rPr>
          <w:vertAlign w:val="superscript"/>
          <w:lang w:val="en-US"/>
        </w:rPr>
        <w:t>2+</w:t>
      </w:r>
      <w:r>
        <w:rPr>
          <w:lang w:val="en-US"/>
        </w:rPr>
        <w:t>, causing similar clinical features as the disease itself. Propofol inhibits the NMDA subtype of glutamate receptor. Depression of NMDA-mediated excitatory neurotransmission may contribute to the anaesthetic, amnesic and anti-convulsant properties of propofol.[</w:t>
      </w:r>
      <w:r>
        <w:fldChar w:fldCharType="begin"/>
      </w:r>
      <w:r>
        <w:rPr>
          <w:rStyle w:val="Hyperlink"/>
          <w:lang w:val="en-US"/>
        </w:rPr>
        <w:instrText xml:space="preserve"> HYPERLINK "https://www.ncbi.nlm.nih.gov/pmc/articles/PMC4408656/?report=printable"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 Inhalational gases like nitrous oxide reduces the excitatory currents induced by NMDA-R in the basolateral amygdala. This is associated with anaesthesia-induced amnesia of nitrous oxide.[</w:t>
      </w:r>
      <w:r>
        <w:fldChar w:fldCharType="begin"/>
      </w:r>
      <w:r>
        <w:rPr>
          <w:rStyle w:val="Hyperlink"/>
          <w:lang w:val="en-US"/>
        </w:rPr>
        <w:instrText xml:space="preserve"> HYPERLINK "https://www.ncbi.nlm.nih.gov/pmc/articles/PMC4408656/?report=printable"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"https://www.ncbi.nlm.nih.gov/pmc/articles/PMC4408656/?report=printable"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 Xenon has been shown to inhibit the NMDA-activated currents in hippocampal neurons.[</w:t>
      </w:r>
      <w:r>
        <w:fldChar w:fldCharType="begin"/>
      </w:r>
      <w:r>
        <w:rPr>
          <w:rStyle w:val="Hyperlink"/>
          <w:lang w:val="en-US"/>
        </w:rPr>
        <w:instrText xml:space="preserve"> HYPERLINK "https://www.ncbi.nlm.nih.gov/pmc/articles/PMC4408656/?report=printable"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 Sevoflurane inhibits NMDA-gated currents and NMDA-induced mitochondria membrane depolarisation, could possibly worsen the clinical presentation of these patients.[</w:t>
      </w:r>
      <w:r>
        <w:fldChar w:fldCharType="begin"/>
      </w:r>
      <w:r>
        <w:rPr>
          <w:rStyle w:val="Hyperlink"/>
          <w:lang w:val="en-US"/>
        </w:rPr>
        <w:instrText xml:space="preserve"> HYPERLINK "https://www.ncbi.nlm.nih.gov/pmc/articles/PMC4408656/?report=printable"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"https://www.ncbi.nlm.nih.gov/pmc/articles/PMC4408656/?report=printable" \l "ref10"</w:instrText>
      </w:r>
      <w:r>
        <w:rPr>
          <w:rStyle w:val="Hyperlink"/>
          <w:lang w:val="en-US"/>
        </w:rPr>
        <w:fldChar w:fldCharType="separate"/>
      </w:r>
      <w:r>
        <w:rPr>
          <w:rStyle w:val="Hyperlink"/>
          <w:lang w:val="en-US"/>
        </w:rPr>
        <w:t>10</w:t>
      </w:r>
      <w:r>
        <w:rPr>
          <w:rStyle w:val="Hyperlink"/>
          <w:lang w:val="en-US"/>
        </w:rPr>
        <w:fldChar w:fldCharType="end"/>
      </w:r>
      <w:r>
        <w:rPr>
          <w:lang w:val="en-US"/>
        </w:rPr>
        <w:t>] Pascual-Ramírez </w:t>
      </w:r>
      <w:r>
        <w:rPr>
          <w:i/>
          <w:iCs/>
          <w:lang w:val="en-US"/>
        </w:rPr>
        <w:t>et al</w:t>
      </w:r>
      <w:r>
        <w:rPr>
          <w:lang w:val="en-US"/>
        </w:rPr>
        <w:t>.,[</w:t>
      </w:r>
      <w:r>
        <w:fldChar w:fldCharType="begin"/>
      </w:r>
      <w:r>
        <w:rPr>
          <w:rStyle w:val="Hyperlink"/>
          <w:lang w:val="en-US"/>
        </w:rPr>
        <w:instrText xml:space="preserve"> HYPERLINK "https://www.ncbi.nlm.nih.gov/pmc/articles/PMC4408656/?report=printable"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 reported using propofol/sevoflurane/fentanyl in a case with no complications.</w:t>
      </w:r>
    </w:p>
    <w:p>
      <w:pPr>
        <w:pStyle w:val="Normal"/>
        <w:rPr>
          <w:lang w:val="it-IT"/>
        </w:rPr>
      </w:pPr>
      <w:hyperlink r:id="rId13">
        <w:r>
          <w:rPr>
            <w:rStyle w:val="Hyperlink"/>
            <w:lang w:val="it-IT"/>
          </w:rPr>
          <w:t>Go to:</w:t>
        </w:r>
      </w:hyperlink>
    </w:p>
    <w:p>
      <w:pPr>
        <w:pStyle w:val="Normal"/>
        <w:rPr>
          <w:b/>
          <w:bCs/>
          <w:lang w:val="it-IT"/>
        </w:rPr>
      </w:pPr>
      <w:r>
        <w:rPr>
          <w:b/>
          <w:bCs/>
          <w:lang w:val="it-IT"/>
        </w:rPr>
        <w:t>CONCLUSION</w:t>
      </w:r>
    </w:p>
    <w:p>
      <w:pPr>
        <w:pStyle w:val="Normal"/>
        <w:rPr>
          <w:lang w:val="en-US"/>
        </w:rPr>
      </w:pPr>
      <w:r>
        <w:rPr>
          <w:lang w:val="en-US"/>
        </w:rPr>
        <w:t>General anaesthesia using non-depolarising neuromuscular blocking agents, benzodiazepines and opioids should be preferred in patients with anti-NMDA-R encephalitis as their effects not associated with NMDA pathway. Regional anaesthesia as an option may be considered in patients diagnosed with early disease keeping in mind the autonomic dysfunction associated with the disorder.</w:t>
      </w:r>
    </w:p>
    <w:p>
      <w:pPr>
        <w:pStyle w:val="Normal"/>
        <w:rPr>
          <w:lang w:val="en-US"/>
        </w:rPr>
      </w:pPr>
      <w:hyperlink r:id="rId14">
        <w:r>
          <w:rPr>
            <w:rStyle w:val="Hyperlink"/>
            <w:lang w:val="en-US"/>
          </w:rPr>
          <w:t>Go to:</w:t>
        </w:r>
      </w:hyperlink>
    </w:p>
    <w:p>
      <w:pPr>
        <w:pStyle w:val="Normal"/>
        <w:rPr>
          <w:b/>
          <w:bCs/>
          <w:lang w:val="en-US"/>
        </w:rPr>
      </w:pPr>
      <w:r>
        <w:rPr>
          <w:b/>
          <w:bCs/>
          <w:lang w:val="en-US"/>
        </w:rPr>
        <w:t>REFERENCES</w:t>
      </w:r>
    </w:p>
    <w:p>
      <w:pPr>
        <w:pStyle w:val="Normal"/>
        <w:rPr>
          <w:lang w:val="en-US"/>
        </w:rPr>
      </w:pPr>
      <w:r>
        <w:rPr>
          <w:lang w:val="en-US"/>
        </w:rPr>
        <w:t>1. Dalmau J, Gleichman AJ, Hughes EG, Rossi JE, Peng X, Lai M, et al. Anti-NMDA-receptor encephalitis: Case series and analysis of the effects of antibodies. Lancet Neurol. 2008;7:1091–8.[PMCID: PMC2607118] [PubMed: 18851928]</w:t>
      </w:r>
    </w:p>
    <w:p>
      <w:pPr>
        <w:pStyle w:val="Normal"/>
        <w:rPr>
          <w:lang w:val="en-US"/>
        </w:rPr>
      </w:pPr>
      <w:r>
        <w:rPr>
          <w:lang w:val="en-US"/>
        </w:rPr>
        <w:t>2. Pascual-Ramírez J, Muñoz-Torrero JJ, Bacci L, Trujillo SG, García-Serrano N. Anesthetic management of ovarian teratoma excision associated with anti-N-methyl-D-aspartate receptor encephalitis. Int J Gynaecol Obstet. 2011;115:291–2. [PubMed: 21945049]</w:t>
      </w:r>
    </w:p>
    <w:p>
      <w:pPr>
        <w:pStyle w:val="Normal"/>
        <w:rPr>
          <w:lang w:val="en-US"/>
        </w:rPr>
      </w:pPr>
      <w:r>
        <w:rPr>
          <w:lang w:val="en-US"/>
        </w:rPr>
        <w:t>3. Azizyan A, Albrektson JR, Maya MM, Pressman BD, Moser F. Anti-NMDA encephalitis: An uncommon, autoimmune mediated form of encephalitis. J Radiol Case Rep. 2014;8:1–6.[PMCID: PMC4242142] [PubMed: 25426239]</w:t>
      </w:r>
    </w:p>
    <w:p>
      <w:pPr>
        <w:pStyle w:val="Normal"/>
        <w:rPr/>
      </w:pPr>
      <w:r>
        <w:rPr>
          <w:lang w:val="en-US"/>
        </w:rPr>
        <w:t>4. Manto M, Dalmau J, Didelot A, Rogemond V, Honnorat J. </w:t>
      </w:r>
      <w:r>
        <w:rPr>
          <w:i/>
          <w:iCs/>
          <w:lang w:val="en-US"/>
        </w:rPr>
        <w:t>In vivo</w:t>
      </w:r>
      <w:r>
        <w:rPr>
          <w:lang w:val="en-US"/>
        </w:rPr>
        <w:t> effects of antibodies from patients with anti-NMDA receptor encephalitis: Further evidence of synaptic glutamatergic dysfunction. Orphanet J Rare Dis. 2010;5:31. [PMCID: PMC3002330] [PubMed: 21110857]</w:t>
      </w:r>
    </w:p>
    <w:p>
      <w:pPr>
        <w:pStyle w:val="Normal"/>
        <w:rPr>
          <w:lang w:val="en-US"/>
        </w:rPr>
      </w:pPr>
      <w:r>
        <w:rPr>
          <w:lang w:val="en-US"/>
        </w:rPr>
        <w:t>5. Mikasova L, De Rossi P, Bouchet D, Georges F, Rogemond V, Didelot A, et al. Disrupted surface cross-talk between NMDA and Ephrin-B2 receptors in anti-NMDA encephalitis. Brain. 2012;135:1606–21.[PubMed: 22544902]</w:t>
      </w:r>
    </w:p>
    <w:p>
      <w:pPr>
        <w:pStyle w:val="Normal"/>
        <w:rPr/>
      </w:pPr>
      <w:r>
        <w:rPr>
          <w:lang w:val="en-US"/>
        </w:rPr>
        <w:t>6. Orser BA, Bertlik M, Wang LY, MacDonald JF. Inhibition by propofol (2, 6 di-isopropylphenol) of the N-methyl-D-aspartate subtype of glutamate receptor in cultured hippocampal neurones. Br J Pharmacol. 1995;116:1761–8. [PMCID: PMC1909100] [PubMed: 8528557]</w:t>
      </w:r>
    </w:p>
    <w:p>
      <w:pPr>
        <w:pStyle w:val="Normal"/>
        <w:rPr>
          <w:lang w:val="en-US"/>
        </w:rPr>
      </w:pPr>
      <w:r>
        <w:rPr>
          <w:lang w:val="en-US"/>
        </w:rPr>
        <w:t>7. Jevtovic-Todorovic V, Todorovic SM, Mennerick S, Powell S, Dikranian K, Benshoff N, et al. Nitrous oxide (laughing gas) is an NMDA antagonist, neuroprotectant and neurotoxin. Nat Med. 1998;4:460–3.[PubMed: 9546794]</w:t>
      </w:r>
    </w:p>
    <w:p>
      <w:pPr>
        <w:pStyle w:val="Normal"/>
        <w:rPr>
          <w:lang w:val="en-US"/>
        </w:rPr>
      </w:pPr>
      <w:r>
        <w:rPr>
          <w:lang w:val="en-US"/>
        </w:rPr>
        <w:t>8. Bhaskar SB, Bajwa SJ. Pharmaco-genomics and anaesthesia: Mysteries, correlations and facts. Indian J Anaesth. 2013;57:336–7. [PMCID: PMC3800323] [PubMed: 24163445]</w:t>
      </w:r>
    </w:p>
    <w:p>
      <w:pPr>
        <w:pStyle w:val="Normal"/>
        <w:rPr>
          <w:lang w:val="en-US"/>
        </w:rPr>
      </w:pPr>
      <w:r>
        <w:rPr>
          <w:lang w:val="en-US"/>
        </w:rPr>
        <w:t>9. Sanders RD, Franks NP, Maze M. Xenon: No stranger to anaesthesia. Br J Anaesth. 2003;91:709–17.[PubMed: 14570795]</w:t>
      </w:r>
    </w:p>
    <w:p>
      <w:pPr>
        <w:pStyle w:val="Normal"/>
        <w:rPr/>
      </w:pPr>
      <w:r>
        <w:rPr>
          <w:lang w:val="en-US"/>
        </w:rPr>
        <w:t>10. Fodale V, Santamaria LB. In clinical practice, coadministration of sevoflurane or propofol could antagonize remifentanil stimulation of N-methyl-D-aspartate receptors. </w:t>
      </w:r>
      <w:r>
        <w:rPr>
          <w:lang w:val="it-IT"/>
        </w:rPr>
        <w:t>Anesthesiology. 2005;102:695–6.[PubMed: 15731617]</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103%2F0019-5049.155005" TargetMode="External"/><Relationship Id="rId3" Type="http://schemas.openxmlformats.org/officeDocument/2006/relationships/hyperlink" Target="https://www.ncbi.nlm.nih.gov/pubmed/25937654" TargetMode="External"/><Relationship Id="rId4" Type="http://schemas.openxmlformats.org/officeDocument/2006/relationships/hyperlink" Target="https://www.ncbi.nlm.nih.gov/pubmed/?term=Shaikh%20MA%5BAuthor%5D&amp;cauthor=true&amp;cauthor_uid=25937654" TargetMode="External"/><Relationship Id="rId5" Type="http://schemas.openxmlformats.org/officeDocument/2006/relationships/hyperlink" Target="https://www.ncbi.nlm.nih.gov/pubmed/?term=Dhansura%20T%5BAuthor%5D&amp;cauthor=true&amp;cauthor_uid=25937654" TargetMode="External"/><Relationship Id="rId6" Type="http://schemas.openxmlformats.org/officeDocument/2006/relationships/hyperlink" Target="https://www.ncbi.nlm.nih.gov/pubmed/?term=Gandhi%20S%5BAuthor%5D&amp;cauthor=true&amp;cauthor_uid=25937654" TargetMode="External"/><Relationship Id="rId7" Type="http://schemas.openxmlformats.org/officeDocument/2006/relationships/hyperlink" Target="https://www.ncbi.nlm.nih.gov/pubmed/?term=Shaikh%20T%5BAuthor%5D&amp;cauthor=true&amp;cauthor_uid=25937654" TargetMode="External"/><Relationship Id="rId8" Type="http://schemas.openxmlformats.org/officeDocument/2006/relationships/hyperlink" Target="mailto:dev@null" TargetMode="External"/><Relationship Id="rId9" Type="http://schemas.openxmlformats.org/officeDocument/2006/relationships/hyperlink" Target="https://www.ncbi.nlm.nih.gov/pmc/about/copyright/" TargetMode="External"/><Relationship Id="rId10" Type="http://schemas.openxmlformats.org/officeDocument/2006/relationships/hyperlink" Target="https://www.ncbi.nlm.nih.gov/pmc/articles/PMC4408656/?report=printable" TargetMode="External"/><Relationship Id="rId11" Type="http://schemas.openxmlformats.org/officeDocument/2006/relationships/hyperlink" Target="https://www.ncbi.nlm.nih.gov/pmc/articles/PMC4408656/?report=printable" TargetMode="External"/><Relationship Id="rId12" Type="http://schemas.openxmlformats.org/officeDocument/2006/relationships/hyperlink" Target="https://www.ncbi.nlm.nih.gov/pmc/articles/PMC4408656/?report=printable" TargetMode="External"/><Relationship Id="rId13" Type="http://schemas.openxmlformats.org/officeDocument/2006/relationships/hyperlink" Target="https://www.ncbi.nlm.nih.gov/pmc/articles/PMC4408656/?report=printable" TargetMode="External"/><Relationship Id="rId14" Type="http://schemas.openxmlformats.org/officeDocument/2006/relationships/hyperlink" Target="https://www.ncbi.nlm.nih.gov/pmc/articles/PMC4408656/?report=printable"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2018-08-15T19:53:00Z</dcterms:created>
  <dc:creator>Margherita Nosadini</dc:creator>
  <dc:description/>
  <dc:language>en-US</dc:language>
  <cp:lastModifiedBy>Margherita Nosadini</cp:lastModifiedBy>
  <dcterms:modified xsi:type="dcterms:W3CDTF">2018-08-15T19:54:00Z</dcterms:modified>
  <cp:revision>1</cp:revision>
  <dc:subject/>
  <dc:title/>
</cp:coreProperties>
</file>