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8B1D2F" w14:textId="77777777" w:rsidR="009B5AA7" w:rsidRDefault="00000000">
      <w:pPr>
        <w:pStyle w:val="aa"/>
        <w:spacing w:before="2300"/>
        <w:jc w:val="center"/>
      </w:pPr>
      <w:r>
        <w:t>AdLift</w:t>
      </w:r>
    </w:p>
    <w:p w14:paraId="4BEB58B5" w14:textId="77777777" w:rsidR="009B5AA7" w:rsidRDefault="00000000">
      <w:pPr>
        <w:pStyle w:val="ac"/>
        <w:jc w:val="center"/>
      </w:pPr>
      <w:r>
        <w:t>Advertising Incrementality and Uplift Targeting</w:t>
      </w:r>
    </w:p>
    <w:p w14:paraId="1EB70048" w14:textId="77777777" w:rsidR="009B5AA7" w:rsidRDefault="00000000">
      <w:pPr>
        <w:spacing w:before="480" w:after="0"/>
        <w:jc w:val="center"/>
        <w:rPr>
          <w:rFonts w:hint="eastAsia"/>
        </w:rPr>
      </w:pPr>
      <w:r>
        <w:rPr>
          <w:b/>
          <w:sz w:val="24"/>
        </w:rPr>
        <w:t>Final Project Report</w:t>
      </w:r>
    </w:p>
    <w:p w14:paraId="6D928C8A" w14:textId="77777777" w:rsidR="009B5AA7" w:rsidRDefault="00000000">
      <w:pPr>
        <w:jc w:val="center"/>
        <w:rPr>
          <w:rFonts w:hint="eastAsia"/>
        </w:rPr>
      </w:pPr>
      <w:r>
        <w:t>Criteo Uplift Prediction Dataset v2.1  |  September 2026</w:t>
      </w:r>
    </w:p>
    <w:p w14:paraId="2A2687CA" w14:textId="77777777" w:rsidR="009B5AA7" w:rsidRDefault="00000000">
      <w:pPr>
        <w:spacing w:before="1500"/>
        <w:ind w:left="1008" w:right="1008"/>
        <w:jc w:val="center"/>
        <w:rPr>
          <w:rFonts w:hint="eastAsia"/>
        </w:rPr>
      </w:pPr>
      <w:r>
        <w:rPr>
          <w:color w:val="4B5563"/>
          <w:sz w:val="22"/>
        </w:rPr>
        <w:t>A reproducible benchmark analysis of randomized advertising effects, heterogeneous treatment effect ranking, and budget-constrained targeting decisions.</w:t>
      </w:r>
    </w:p>
    <w:p w14:paraId="23341B63" w14:textId="77777777" w:rsidR="009B5AA7" w:rsidRDefault="00000000">
      <w:pPr>
        <w:spacing w:before="560"/>
        <w:jc w:val="center"/>
        <w:rPr>
          <w:rFonts w:hint="eastAsia"/>
        </w:rPr>
      </w:pPr>
      <w:r>
        <w:rPr>
          <w:color w:val="4B5563"/>
          <w:sz w:val="17"/>
        </w:rPr>
        <w:t>Data source: Diemert et al. (2018), Criteo Uplift Prediction Dataset v2.1, CC BY-NC-SA 4.0.</w:t>
      </w:r>
    </w:p>
    <w:p w14:paraId="210B77FD" w14:textId="77777777" w:rsidR="009B5AA7" w:rsidRDefault="00000000">
      <w:pPr>
        <w:rPr>
          <w:rFonts w:hint="eastAsia"/>
        </w:rPr>
      </w:pPr>
      <w:r>
        <w:br w:type="page"/>
      </w:r>
    </w:p>
    <w:p w14:paraId="5006E247" w14:textId="77777777" w:rsidR="009B5AA7" w:rsidRDefault="00000000">
      <w:pPr>
        <w:pStyle w:val="1"/>
      </w:pPr>
      <w:r>
        <w:lastRenderedPageBreak/>
        <w:t>Executive Summary</w:t>
      </w:r>
    </w:p>
    <w:p w14:paraId="33238E91" w14:textId="4CC2C992" w:rsidR="009B5AA7" w:rsidRDefault="00407164">
      <w:pPr>
        <w:rPr>
          <w:rFonts w:hint="eastAsia"/>
        </w:rPr>
      </w:pPr>
      <w:r>
        <w:t>This project</w:t>
      </w:r>
      <w:r w:rsidR="00000000">
        <w:t xml:space="preserve"> evaluates two related questions. First, does randomized advertising assignment increase visits and conversions in the released benchmark population? Second, can an uplift model rank records so that a limited advertising budget captures more incremental outcomes than conventional response targeting? The analysis uses all 13,979,592 released records and evaluates frozen model rankings on a held-out test set of 2,795,749 records.</w:t>
      </w:r>
    </w:p>
    <w:p w14:paraId="7621232B" w14:textId="77777777" w:rsidR="009B5AA7" w:rsidRDefault="00000000">
      <w:pPr>
        <w:rPr>
          <w:rFonts w:hint="eastAsia"/>
        </w:rPr>
      </w:pPr>
      <w:r>
        <w:t>Advertising assignment produced positive average effects for both outcomes. Visit rate increased by 1.034 percentage points, a 27.1% relative lift. Conversion rate increased by 0.115 percentage points, a 59.4% relative lift. These estimates use randomized treatment assignment and are statistically precise in the released sample.</w:t>
      </w:r>
    </w:p>
    <w:p w14:paraId="704F284C" w14:textId="26B1C3F3" w:rsidR="009B5AA7" w:rsidRDefault="00000000">
      <w:pPr>
        <w:rPr>
          <w:rFonts w:hint="eastAsia"/>
        </w:rPr>
      </w:pPr>
      <w:r>
        <w:t>For Visit targeting, the S-Learner is the best</w:t>
      </w:r>
      <w:r w:rsidR="00407164">
        <w:t>-</w:t>
      </w:r>
      <w:r>
        <w:t>supported operational ranking. Its global Qini exceeds response propensity by 645 incremental-visit area units, with a 2,000-draw paired 95% interval of 413 to 883. Targeting the top 10% estimates 17,919 incremental visits and improves on response targeting by 3,805 visits, with a paired 95% interval of 2,804 to 4,829. For Conversion, the uplift learners do not beat response propensity; response targeting remains the supported ranking.</w:t>
      </w:r>
    </w:p>
    <w:p w14:paraId="27C9D93B" w14:textId="0CB70970" w:rsidR="009B5AA7" w:rsidRDefault="009B5AA7">
      <w:pPr>
        <w:rPr>
          <w:rFonts w:hint="eastAsia"/>
        </w:rPr>
      </w:pP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6552"/>
      </w:tblGrid>
      <w:tr w:rsidR="009B5AA7" w14:paraId="36220E45" w14:textId="77777777">
        <w:trPr>
          <w:tblHeader/>
        </w:trPr>
        <w:tc>
          <w:tcPr>
            <w:tcW w:w="2520" w:type="dxa"/>
            <w:shd w:val="clear" w:color="auto" w:fill="17365D"/>
            <w:tcMar>
              <w:top w:w="110" w:type="dxa"/>
              <w:left w:w="100" w:type="dxa"/>
              <w:bottom w:w="110" w:type="dxa"/>
              <w:right w:w="100" w:type="dxa"/>
            </w:tcMar>
            <w:vAlign w:val="center"/>
          </w:tcPr>
          <w:p w14:paraId="059F7C63" w14:textId="77777777" w:rsidR="009B5AA7" w:rsidRDefault="00000000">
            <w:pPr>
              <w:spacing w:after="0"/>
              <w:jc w:val="center"/>
              <w:rPr>
                <w:rFonts w:hint="eastAsia"/>
              </w:rPr>
            </w:pPr>
            <w:r>
              <w:rPr>
                <w:b/>
                <w:color w:val="FFFFFF"/>
                <w:sz w:val="18"/>
              </w:rPr>
              <w:t>Decision question</w:t>
            </w:r>
          </w:p>
        </w:tc>
        <w:tc>
          <w:tcPr>
            <w:tcW w:w="6552" w:type="dxa"/>
            <w:shd w:val="clear" w:color="auto" w:fill="17365D"/>
            <w:tcMar>
              <w:top w:w="110" w:type="dxa"/>
              <w:left w:w="100" w:type="dxa"/>
              <w:bottom w:w="110" w:type="dxa"/>
              <w:right w:w="100" w:type="dxa"/>
            </w:tcMar>
            <w:vAlign w:val="center"/>
          </w:tcPr>
          <w:p w14:paraId="52738E2C" w14:textId="77777777" w:rsidR="009B5AA7" w:rsidRDefault="00000000">
            <w:pPr>
              <w:spacing w:after="0"/>
              <w:jc w:val="center"/>
              <w:rPr>
                <w:rFonts w:hint="eastAsia"/>
              </w:rPr>
            </w:pPr>
            <w:r>
              <w:rPr>
                <w:b/>
                <w:color w:val="FFFFFF"/>
                <w:sz w:val="18"/>
              </w:rPr>
              <w:t>Evidence-based conclusion</w:t>
            </w:r>
          </w:p>
        </w:tc>
      </w:tr>
      <w:tr w:rsidR="009B5AA7" w14:paraId="6D802C28" w14:textId="77777777">
        <w:trPr>
          <w:cantSplit/>
        </w:trPr>
        <w:tc>
          <w:tcPr>
            <w:tcW w:w="2520" w:type="dxa"/>
            <w:tcMar>
              <w:top w:w="90" w:type="dxa"/>
              <w:left w:w="100" w:type="dxa"/>
              <w:bottom w:w="90" w:type="dxa"/>
              <w:right w:w="100" w:type="dxa"/>
            </w:tcMar>
            <w:vAlign w:val="center"/>
          </w:tcPr>
          <w:p w14:paraId="538A3034" w14:textId="77777777" w:rsidR="009B5AA7" w:rsidRDefault="00000000">
            <w:pPr>
              <w:spacing w:after="0" w:line="240" w:lineRule="auto"/>
              <w:rPr>
                <w:rFonts w:hint="eastAsia"/>
              </w:rPr>
            </w:pPr>
            <w:r>
              <w:rPr>
                <w:sz w:val="18"/>
              </w:rPr>
              <w:t>Does advertising create average lift?</w:t>
            </w:r>
          </w:p>
        </w:tc>
        <w:tc>
          <w:tcPr>
            <w:tcW w:w="6552" w:type="dxa"/>
            <w:tcMar>
              <w:top w:w="90" w:type="dxa"/>
              <w:left w:w="100" w:type="dxa"/>
              <w:bottom w:w="90" w:type="dxa"/>
              <w:right w:w="100" w:type="dxa"/>
            </w:tcMar>
            <w:vAlign w:val="center"/>
          </w:tcPr>
          <w:p w14:paraId="77680B23" w14:textId="77777777" w:rsidR="009B5AA7" w:rsidRDefault="00000000">
            <w:pPr>
              <w:spacing w:after="0" w:line="240" w:lineRule="auto"/>
              <w:rPr>
                <w:rFonts w:hint="eastAsia"/>
              </w:rPr>
            </w:pPr>
            <w:r>
              <w:rPr>
                <w:sz w:val="18"/>
              </w:rPr>
              <w:t>Yes for both Visit and Conversion in the released randomized benchmark.</w:t>
            </w:r>
          </w:p>
        </w:tc>
      </w:tr>
      <w:tr w:rsidR="009B5AA7" w14:paraId="291BA902" w14:textId="77777777">
        <w:trPr>
          <w:cantSplit/>
        </w:trPr>
        <w:tc>
          <w:tcPr>
            <w:tcW w:w="2520" w:type="dxa"/>
            <w:shd w:val="clear" w:color="auto" w:fill="F5F7FA"/>
            <w:tcMar>
              <w:top w:w="90" w:type="dxa"/>
              <w:left w:w="100" w:type="dxa"/>
              <w:bottom w:w="90" w:type="dxa"/>
              <w:right w:w="100" w:type="dxa"/>
            </w:tcMar>
            <w:vAlign w:val="center"/>
          </w:tcPr>
          <w:p w14:paraId="692AF0B1" w14:textId="77777777" w:rsidR="009B5AA7" w:rsidRDefault="00000000">
            <w:pPr>
              <w:spacing w:after="0" w:line="240" w:lineRule="auto"/>
              <w:rPr>
                <w:rFonts w:hint="eastAsia"/>
              </w:rPr>
            </w:pPr>
            <w:r>
              <w:rPr>
                <w:sz w:val="18"/>
              </w:rPr>
              <w:t>Which uplift learner is preferred?</w:t>
            </w:r>
          </w:p>
        </w:tc>
        <w:tc>
          <w:tcPr>
            <w:tcW w:w="6552" w:type="dxa"/>
            <w:shd w:val="clear" w:color="auto" w:fill="F5F7FA"/>
            <w:tcMar>
              <w:top w:w="90" w:type="dxa"/>
              <w:left w:w="100" w:type="dxa"/>
              <w:bottom w:w="90" w:type="dxa"/>
              <w:right w:w="100" w:type="dxa"/>
            </w:tcMar>
            <w:vAlign w:val="center"/>
          </w:tcPr>
          <w:p w14:paraId="2F60A160" w14:textId="77777777" w:rsidR="009B5AA7" w:rsidRDefault="00000000">
            <w:pPr>
              <w:spacing w:after="0" w:line="240" w:lineRule="auto"/>
              <w:rPr>
                <w:rFonts w:hint="eastAsia"/>
              </w:rPr>
            </w:pPr>
            <w:r>
              <w:rPr>
                <w:sz w:val="18"/>
              </w:rPr>
              <w:t>S-Learner for Visit; it is simpler than the point-Qini-leading pooled X-style model and is not meaningfully worse in paired comparison.</w:t>
            </w:r>
          </w:p>
        </w:tc>
      </w:tr>
      <w:tr w:rsidR="009B5AA7" w14:paraId="1329F6F6" w14:textId="77777777">
        <w:trPr>
          <w:cantSplit/>
        </w:trPr>
        <w:tc>
          <w:tcPr>
            <w:tcW w:w="2520" w:type="dxa"/>
            <w:tcMar>
              <w:top w:w="90" w:type="dxa"/>
              <w:left w:w="100" w:type="dxa"/>
              <w:bottom w:w="90" w:type="dxa"/>
              <w:right w:w="100" w:type="dxa"/>
            </w:tcMar>
            <w:vAlign w:val="center"/>
          </w:tcPr>
          <w:p w14:paraId="252F6FFE" w14:textId="77777777" w:rsidR="009B5AA7" w:rsidRDefault="00000000">
            <w:pPr>
              <w:spacing w:after="0" w:line="240" w:lineRule="auto"/>
              <w:rPr>
                <w:rFonts w:hint="eastAsia"/>
              </w:rPr>
            </w:pPr>
            <w:r>
              <w:rPr>
                <w:sz w:val="18"/>
              </w:rPr>
              <w:t>Does uplift improve targeting?</w:t>
            </w:r>
          </w:p>
        </w:tc>
        <w:tc>
          <w:tcPr>
            <w:tcW w:w="6552" w:type="dxa"/>
            <w:tcMar>
              <w:top w:w="90" w:type="dxa"/>
              <w:left w:w="100" w:type="dxa"/>
              <w:bottom w:w="90" w:type="dxa"/>
              <w:right w:w="100" w:type="dxa"/>
            </w:tcMar>
            <w:vAlign w:val="center"/>
          </w:tcPr>
          <w:p w14:paraId="27E83AF1" w14:textId="77777777" w:rsidR="009B5AA7" w:rsidRDefault="00000000">
            <w:pPr>
              <w:spacing w:after="0" w:line="240" w:lineRule="auto"/>
              <w:rPr>
                <w:rFonts w:hint="eastAsia"/>
              </w:rPr>
            </w:pPr>
            <w:r>
              <w:rPr>
                <w:sz w:val="18"/>
              </w:rPr>
              <w:t>Yes for Visit, especially at 5% and 10% budgets. No demonstrated advantage for Conversion.</w:t>
            </w:r>
          </w:p>
        </w:tc>
      </w:tr>
    </w:tbl>
    <w:p w14:paraId="0F5E4092" w14:textId="77777777" w:rsidR="009B5AA7" w:rsidRDefault="009B5AA7">
      <w:pPr>
        <w:spacing w:after="0"/>
        <w:rPr>
          <w:rFonts w:hint="eastAsia"/>
        </w:rPr>
      </w:pPr>
    </w:p>
    <w:p w14:paraId="2DDFCB9A" w14:textId="77777777" w:rsidR="009B5AA7" w:rsidRDefault="00000000">
      <w:pPr>
        <w:pStyle w:val="1"/>
      </w:pPr>
      <w:r>
        <w:t>Business Question</w:t>
      </w:r>
    </w:p>
    <w:p w14:paraId="7D928D03" w14:textId="77777777" w:rsidR="009B5AA7" w:rsidRDefault="00000000">
      <w:pPr>
        <w:rPr>
          <w:rFonts w:hint="eastAsia"/>
        </w:rPr>
      </w:pPr>
      <w:r>
        <w:t>Response targeting asks who is likely to act. Uplift targeting asks whose behavior advertising is likely to change. This distinction matters when advertising capacity is limited: a high-response user may convert without advertising, while a lower-response user may be persuadable.</w:t>
      </w:r>
    </w:p>
    <w:p w14:paraId="7A38A386" w14:textId="77777777" w:rsidR="009B5AA7" w:rsidRDefault="00000000">
      <w:pPr>
        <w:rPr>
          <w:rFonts w:hint="eastAsia"/>
        </w:rPr>
      </w:pPr>
      <w:r>
        <w:t>The project measures whether a causal ranking can allocate a fixed targeting budget more efficiently than random selection or a response-propensity model. Visit and Conversion are evaluated separately because a ranking that increases traffic may not maximize the rarer downstream conversion outcome.</w:t>
      </w:r>
    </w:p>
    <w:p w14:paraId="69E63A0C" w14:textId="77777777" w:rsidR="009B5AA7" w:rsidRDefault="00000000">
      <w:pPr>
        <w:pStyle w:val="1"/>
      </w:pPr>
      <w:r>
        <w:t>Data and Experimental Design</w:t>
      </w:r>
    </w:p>
    <w:p w14:paraId="404DCDA1" w14:textId="77777777" w:rsidR="009B5AA7" w:rsidRDefault="00000000">
      <w:pPr>
        <w:pStyle w:val="21"/>
      </w:pPr>
      <w:r>
        <w:t>Dataset and analysis population</w:t>
      </w:r>
    </w:p>
    <w:p w14:paraId="03D66937" w14:textId="68729F7F" w:rsidR="009B5AA7" w:rsidRDefault="00000000">
      <w:pPr>
        <w:rPr>
          <w:rFonts w:hint="eastAsia"/>
        </w:rPr>
      </w:pPr>
      <w:r>
        <w:t xml:space="preserve">The analysis uses the public Criteo Uplift Prediction Dataset v2.1. After data cleaning, each record contains twelve anonymized pre-treatment features, randomized treatment assignment, post-assignment exposure, Visit, and Conversion. All 13,979,592 records are retained. The unit of analysis is a released benchmark record; </w:t>
      </w:r>
    </w:p>
    <w:p w14:paraId="538F20A5" w14:textId="77777777" w:rsidR="009B5AA7" w:rsidRDefault="00000000">
      <w:pPr>
        <w:pStyle w:val="21"/>
      </w:pPr>
      <w:r>
        <w:t>A/B Test Design and Causal Estimand</w:t>
      </w:r>
    </w:p>
    <w:p w14:paraId="34E44697" w14:textId="77777777" w:rsidR="009B5AA7" w:rsidRDefault="00000000">
      <w:pPr>
        <w:rPr>
          <w:rFonts w:hint="eastAsia"/>
        </w:rPr>
      </w:pPr>
      <w:r>
        <w:t>The first analytical stage is a randomized A/B test at the record level. Treatment assigns the advertising platform to enter the auction and attempt to serve an ad; Control represents no auction participation under that strategy. Visit and Conversion are binary outcomes measured after assignment. The primary estimand is the intent-to-treat effect, E[Y(1) − Y(0)], estimated as the Treatment outcome rate minus the Control outcome rate. Exposure records whether an ad was delivered after assignment, so it is a post-treatment mediator and is not used to redefine the randomized groups.</w:t>
      </w:r>
      <w:r/>
    </w:p>
    <w:p w14:paraId="3474D0DE" w14:textId="77777777" w:rsidR="009B5AA7" w:rsidRDefault="00000000">
      <w:pPr>
        <w:rPr>
          <w:rFonts w:hint="eastAsia"/>
        </w:rPr>
      </w:pPr>
      <w:r>
        <w:t>For each outcome, the two-sided null hypothesis is H₀: pTreatment − pControl = 0. Absolute lift is p₁ − p₀, and relative lift is (p₁ − p₀) / p₀. Uncertainty is summarized with unpooled 95% confidence intervals and two-proportion tests, while observable randomization balance is assessed across the twelve pre-treatment features. No CUPED or regression-adjusted average effect is reported because the release has no validated pre-period outcome or time field suitable for that adjustment.</w:t>
      </w:r>
    </w:p>
    <w:p w14:paraId="007DAF77" w14:textId="77777777" w:rsidR="009B5AA7" w:rsidRDefault="00000000">
      <w:pPr>
        <w:pStyle w:val="21"/>
      </w:pPr>
      <w:r>
        <w:t>Train validation and test separation</w:t>
      </w:r>
    </w:p>
    <w:p w14:paraId="70C12166" w14:textId="77777777" w:rsidR="009B5AA7" w:rsidRDefault="00000000">
      <w:pPr>
        <w:rPr>
          <w:rFonts w:hint="eastAsia"/>
        </w:rPr>
      </w:pPr>
      <w:r>
        <w:t>A seeded hash of the twelve pre-treatment features assigns records to approximately 60% train, 20% validation, and 20% test. Identical feature vectors receive the same hash and cannot cross partitions. Only f0 through f11 may enter a model matrix. Exposure, outcomes, row identifiers, and partition labels are excluded as predictive features.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40"/>
        <w:gridCol w:w="1656"/>
        <w:gridCol w:w="1512"/>
        <w:gridCol w:w="4464"/>
      </w:tblGrid>
      <w:tr w:rsidR="009B5AA7" w14:paraId="54C5A3B0" w14:textId="77777777">
        <w:trPr>
          <w:tblHeader/>
        </w:trPr>
        <w:tc>
          <w:tcPr>
            <w:tcW w:w="1440" w:type="dxa"/>
            <w:shd w:val="clear" w:color="auto" w:fill="17365D"/>
            <w:tcMar>
              <w:top w:w="110" w:type="dxa"/>
              <w:left w:w="100" w:type="dxa"/>
              <w:bottom w:w="110" w:type="dxa"/>
              <w:right w:w="100" w:type="dxa"/>
            </w:tcMar>
            <w:vAlign w:val="center"/>
          </w:tcPr>
          <w:p w14:paraId="3C2B3699" w14:textId="77777777" w:rsidR="009B5AA7" w:rsidRDefault="00000000">
            <w:pPr>
              <w:spacing w:after="0"/>
              <w:jc w:val="center"/>
              <w:rPr>
                <w:rFonts w:hint="eastAsia"/>
              </w:rPr>
            </w:pPr>
            <w:r>
              <w:rPr>
                <w:b/>
                <w:color w:val="FFFFFF"/>
                <w:sz w:val="18"/>
              </w:rPr>
              <w:t>Partition</w:t>
            </w:r>
          </w:p>
        </w:tc>
        <w:tc>
          <w:tcPr>
            <w:tcW w:w="1656" w:type="dxa"/>
            <w:shd w:val="clear" w:color="auto" w:fill="17365D"/>
            <w:tcMar>
              <w:top w:w="110" w:type="dxa"/>
              <w:left w:w="100" w:type="dxa"/>
              <w:bottom w:w="110" w:type="dxa"/>
              <w:right w:w="100" w:type="dxa"/>
            </w:tcMar>
            <w:vAlign w:val="center"/>
          </w:tcPr>
          <w:p w14:paraId="60DA6A37" w14:textId="77777777" w:rsidR="009B5AA7" w:rsidRDefault="00000000">
            <w:pPr>
              <w:spacing w:after="0"/>
              <w:jc w:val="center"/>
              <w:rPr>
                <w:rFonts w:hint="eastAsia"/>
              </w:rPr>
            </w:pPr>
            <w:r>
              <w:rPr>
                <w:b/>
                <w:color w:val="FFFFFF"/>
                <w:sz w:val="18"/>
              </w:rPr>
              <w:t>Treatment</w:t>
            </w:r>
          </w:p>
        </w:tc>
        <w:tc>
          <w:tcPr>
            <w:tcW w:w="1512" w:type="dxa"/>
            <w:shd w:val="clear" w:color="auto" w:fill="17365D"/>
            <w:tcMar>
              <w:top w:w="110" w:type="dxa"/>
              <w:left w:w="100" w:type="dxa"/>
              <w:bottom w:w="110" w:type="dxa"/>
              <w:right w:w="100" w:type="dxa"/>
            </w:tcMar>
            <w:vAlign w:val="center"/>
          </w:tcPr>
          <w:p w14:paraId="3629A9A1" w14:textId="77777777" w:rsidR="009B5AA7" w:rsidRDefault="00000000">
            <w:pPr>
              <w:spacing w:after="0"/>
              <w:jc w:val="center"/>
              <w:rPr>
                <w:rFonts w:hint="eastAsia"/>
              </w:rPr>
            </w:pPr>
            <w:r>
              <w:rPr>
                <w:b/>
                <w:color w:val="FFFFFF"/>
                <w:sz w:val="18"/>
              </w:rPr>
              <w:t>Control</w:t>
            </w:r>
          </w:p>
        </w:tc>
        <w:tc>
          <w:tcPr>
            <w:tcW w:w="4464" w:type="dxa"/>
            <w:shd w:val="clear" w:color="auto" w:fill="17365D"/>
            <w:tcMar>
              <w:top w:w="110" w:type="dxa"/>
              <w:left w:w="100" w:type="dxa"/>
              <w:bottom w:w="110" w:type="dxa"/>
              <w:right w:w="100" w:type="dxa"/>
            </w:tcMar>
            <w:vAlign w:val="center"/>
          </w:tcPr>
          <w:p w14:paraId="775D63AC" w14:textId="77777777" w:rsidR="009B5AA7" w:rsidRDefault="00000000">
            <w:pPr>
              <w:spacing w:after="0"/>
              <w:jc w:val="center"/>
              <w:rPr>
                <w:rFonts w:hint="eastAsia"/>
              </w:rPr>
            </w:pPr>
            <w:r>
              <w:rPr>
                <w:b/>
                <w:color w:val="FFFFFF"/>
                <w:sz w:val="18"/>
              </w:rPr>
              <w:t>Permitted use</w:t>
            </w:r>
          </w:p>
        </w:tc>
      </w:tr>
      <w:tr w:rsidR="009B5AA7" w14:paraId="0ABD2069" w14:textId="77777777">
        <w:trPr>
          <w:cantSplit/>
        </w:trPr>
        <w:tc>
          <w:tcPr>
            <w:tcW w:w="1440" w:type="dxa"/>
            <w:tcMar>
              <w:top w:w="90" w:type="dxa"/>
              <w:left w:w="100" w:type="dxa"/>
              <w:bottom w:w="90" w:type="dxa"/>
              <w:right w:w="100" w:type="dxa"/>
            </w:tcMar>
            <w:vAlign w:val="center"/>
          </w:tcPr>
          <w:p w14:paraId="3D25677C" w14:textId="77777777" w:rsidR="009B5AA7" w:rsidRDefault="00000000">
            <w:pPr>
              <w:spacing w:after="0" w:line="240" w:lineRule="auto"/>
              <w:rPr>
                <w:rFonts w:hint="eastAsia"/>
              </w:rPr>
            </w:pPr>
            <w:r>
              <w:rPr>
                <w:sz w:val="18"/>
              </w:rPr>
              <w:t>Train</w:t>
            </w:r>
          </w:p>
        </w:tc>
        <w:tc>
          <w:tcPr>
            <w:tcW w:w="1656" w:type="dxa"/>
            <w:tcMar>
              <w:top w:w="90" w:type="dxa"/>
              <w:left w:w="100" w:type="dxa"/>
              <w:bottom w:w="90" w:type="dxa"/>
              <w:right w:w="100" w:type="dxa"/>
            </w:tcMar>
            <w:vAlign w:val="center"/>
          </w:tcPr>
          <w:p w14:paraId="5EFFE400" w14:textId="77777777" w:rsidR="009B5AA7" w:rsidRDefault="00000000">
            <w:pPr>
              <w:spacing w:after="0" w:line="240" w:lineRule="auto"/>
              <w:jc w:val="right"/>
              <w:rPr>
                <w:rFonts w:hint="eastAsia"/>
              </w:rPr>
            </w:pPr>
            <w:r>
              <w:rPr>
                <w:sz w:val="18"/>
              </w:rPr>
              <w:t>7,130,304</w:t>
            </w:r>
          </w:p>
        </w:tc>
        <w:tc>
          <w:tcPr>
            <w:tcW w:w="1512" w:type="dxa"/>
            <w:tcMar>
              <w:top w:w="90" w:type="dxa"/>
              <w:left w:w="100" w:type="dxa"/>
              <w:bottom w:w="90" w:type="dxa"/>
              <w:right w:w="100" w:type="dxa"/>
            </w:tcMar>
            <w:vAlign w:val="center"/>
          </w:tcPr>
          <w:p w14:paraId="19DAB9AE" w14:textId="77777777" w:rsidR="009B5AA7" w:rsidRDefault="00000000">
            <w:pPr>
              <w:spacing w:after="0" w:line="240" w:lineRule="auto"/>
              <w:jc w:val="right"/>
              <w:rPr>
                <w:rFonts w:hint="eastAsia"/>
              </w:rPr>
            </w:pPr>
            <w:r>
              <w:rPr>
                <w:sz w:val="18"/>
              </w:rPr>
              <w:t>1,258,910</w:t>
            </w:r>
          </w:p>
        </w:tc>
        <w:tc>
          <w:tcPr>
            <w:tcW w:w="4464" w:type="dxa"/>
            <w:tcMar>
              <w:top w:w="90" w:type="dxa"/>
              <w:left w:w="100" w:type="dxa"/>
              <w:bottom w:w="90" w:type="dxa"/>
              <w:right w:w="100" w:type="dxa"/>
            </w:tcMar>
            <w:vAlign w:val="center"/>
          </w:tcPr>
          <w:p w14:paraId="77120E57" w14:textId="77777777" w:rsidR="009B5AA7" w:rsidRDefault="00000000">
            <w:pPr>
              <w:spacing w:after="0" w:line="240" w:lineRule="auto"/>
              <w:rPr>
                <w:rFonts w:hint="eastAsia"/>
              </w:rPr>
            </w:pPr>
            <w:r>
              <w:rPr>
                <w:sz w:val="18"/>
              </w:rPr>
              <w:t>Fit model parameters</w:t>
            </w:r>
          </w:p>
        </w:tc>
      </w:tr>
      <w:tr w:rsidR="009B5AA7" w14:paraId="29535A43" w14:textId="77777777">
        <w:trPr>
          <w:cantSplit/>
        </w:trPr>
        <w:tc>
          <w:tcPr>
            <w:tcW w:w="1440" w:type="dxa"/>
            <w:shd w:val="clear" w:color="auto" w:fill="F5F7FA"/>
            <w:tcMar>
              <w:top w:w="90" w:type="dxa"/>
              <w:left w:w="100" w:type="dxa"/>
              <w:bottom w:w="90" w:type="dxa"/>
              <w:right w:w="100" w:type="dxa"/>
            </w:tcMar>
            <w:vAlign w:val="center"/>
          </w:tcPr>
          <w:p w14:paraId="149118EA" w14:textId="77777777" w:rsidR="009B5AA7" w:rsidRDefault="00000000">
            <w:pPr>
              <w:spacing w:after="0" w:line="240" w:lineRule="auto"/>
              <w:rPr>
                <w:rFonts w:hint="eastAsia"/>
              </w:rPr>
            </w:pPr>
            <w:r>
              <w:rPr>
                <w:sz w:val="18"/>
              </w:rPr>
              <w:t>Validation</w:t>
            </w:r>
          </w:p>
        </w:tc>
        <w:tc>
          <w:tcPr>
            <w:tcW w:w="1656" w:type="dxa"/>
            <w:shd w:val="clear" w:color="auto" w:fill="F5F7FA"/>
            <w:tcMar>
              <w:top w:w="90" w:type="dxa"/>
              <w:left w:w="100" w:type="dxa"/>
              <w:bottom w:w="90" w:type="dxa"/>
              <w:right w:w="100" w:type="dxa"/>
            </w:tcMar>
            <w:vAlign w:val="center"/>
          </w:tcPr>
          <w:p w14:paraId="1D758866" w14:textId="77777777" w:rsidR="009B5AA7" w:rsidRDefault="00000000">
            <w:pPr>
              <w:spacing w:after="0" w:line="240" w:lineRule="auto"/>
              <w:jc w:val="right"/>
              <w:rPr>
                <w:rFonts w:hint="eastAsia"/>
              </w:rPr>
            </w:pPr>
            <w:r>
              <w:rPr>
                <w:sz w:val="18"/>
              </w:rPr>
              <w:t>2,375,820</w:t>
            </w:r>
          </w:p>
        </w:tc>
        <w:tc>
          <w:tcPr>
            <w:tcW w:w="1512" w:type="dxa"/>
            <w:shd w:val="clear" w:color="auto" w:fill="F5F7FA"/>
            <w:tcMar>
              <w:top w:w="90" w:type="dxa"/>
              <w:left w:w="100" w:type="dxa"/>
              <w:bottom w:w="90" w:type="dxa"/>
              <w:right w:w="100" w:type="dxa"/>
            </w:tcMar>
            <w:vAlign w:val="center"/>
          </w:tcPr>
          <w:p w14:paraId="40FE7E28" w14:textId="77777777" w:rsidR="009B5AA7" w:rsidRDefault="00000000">
            <w:pPr>
              <w:spacing w:after="0" w:line="240" w:lineRule="auto"/>
              <w:jc w:val="right"/>
              <w:rPr>
                <w:rFonts w:hint="eastAsia"/>
              </w:rPr>
            </w:pPr>
            <w:r>
              <w:rPr>
                <w:sz w:val="18"/>
              </w:rPr>
              <w:t>418,809</w:t>
            </w:r>
          </w:p>
        </w:tc>
        <w:tc>
          <w:tcPr>
            <w:tcW w:w="4464" w:type="dxa"/>
            <w:shd w:val="clear" w:color="auto" w:fill="F5F7FA"/>
            <w:tcMar>
              <w:top w:w="90" w:type="dxa"/>
              <w:left w:w="100" w:type="dxa"/>
              <w:bottom w:w="90" w:type="dxa"/>
              <w:right w:w="100" w:type="dxa"/>
            </w:tcMar>
            <w:vAlign w:val="center"/>
          </w:tcPr>
          <w:p w14:paraId="7E3A9AD8" w14:textId="77777777" w:rsidR="009B5AA7" w:rsidRDefault="00000000">
            <w:pPr>
              <w:spacing w:after="0" w:line="240" w:lineRule="auto"/>
              <w:rPr>
                <w:rFonts w:hint="eastAsia"/>
              </w:rPr>
            </w:pPr>
            <w:r>
              <w:rPr>
                <w:sz w:val="18"/>
              </w:rPr>
              <w:t>Early stopping and constrained model development</w:t>
            </w:r>
          </w:p>
        </w:tc>
      </w:tr>
      <w:tr w:rsidR="009B5AA7" w14:paraId="09691F82" w14:textId="77777777">
        <w:trPr>
          <w:cantSplit/>
        </w:trPr>
        <w:tc>
          <w:tcPr>
            <w:tcW w:w="1440" w:type="dxa"/>
            <w:tcMar>
              <w:top w:w="90" w:type="dxa"/>
              <w:left w:w="100" w:type="dxa"/>
              <w:bottom w:w="90" w:type="dxa"/>
              <w:right w:w="100" w:type="dxa"/>
            </w:tcMar>
            <w:vAlign w:val="center"/>
          </w:tcPr>
          <w:p w14:paraId="7DBA97AD" w14:textId="77777777" w:rsidR="009B5AA7" w:rsidRDefault="00000000">
            <w:pPr>
              <w:spacing w:after="0" w:line="240" w:lineRule="auto"/>
              <w:rPr>
                <w:rFonts w:hint="eastAsia"/>
              </w:rPr>
            </w:pPr>
            <w:r>
              <w:rPr>
                <w:sz w:val="18"/>
              </w:rPr>
              <w:t>Test</w:t>
            </w:r>
          </w:p>
        </w:tc>
        <w:tc>
          <w:tcPr>
            <w:tcW w:w="1656" w:type="dxa"/>
            <w:tcMar>
              <w:top w:w="90" w:type="dxa"/>
              <w:left w:w="100" w:type="dxa"/>
              <w:bottom w:w="90" w:type="dxa"/>
              <w:right w:w="100" w:type="dxa"/>
            </w:tcMar>
            <w:vAlign w:val="center"/>
          </w:tcPr>
          <w:p w14:paraId="7A59B1CB" w14:textId="77777777" w:rsidR="009B5AA7" w:rsidRDefault="00000000">
            <w:pPr>
              <w:spacing w:after="0" w:line="240" w:lineRule="auto"/>
              <w:jc w:val="right"/>
              <w:rPr>
                <w:rFonts w:hint="eastAsia"/>
              </w:rPr>
            </w:pPr>
            <w:r>
              <w:rPr>
                <w:sz w:val="18"/>
              </w:rPr>
              <w:t>2,376,531</w:t>
            </w:r>
          </w:p>
        </w:tc>
        <w:tc>
          <w:tcPr>
            <w:tcW w:w="1512" w:type="dxa"/>
            <w:tcMar>
              <w:top w:w="90" w:type="dxa"/>
              <w:left w:w="100" w:type="dxa"/>
              <w:bottom w:w="90" w:type="dxa"/>
              <w:right w:w="100" w:type="dxa"/>
            </w:tcMar>
            <w:vAlign w:val="center"/>
          </w:tcPr>
          <w:p w14:paraId="5E06B2CE" w14:textId="77777777" w:rsidR="009B5AA7" w:rsidRDefault="00000000">
            <w:pPr>
              <w:spacing w:after="0" w:line="240" w:lineRule="auto"/>
              <w:jc w:val="right"/>
              <w:rPr>
                <w:rFonts w:hint="eastAsia"/>
              </w:rPr>
            </w:pPr>
            <w:r>
              <w:rPr>
                <w:sz w:val="18"/>
              </w:rPr>
              <w:t>419,218</w:t>
            </w:r>
          </w:p>
        </w:tc>
        <w:tc>
          <w:tcPr>
            <w:tcW w:w="4464" w:type="dxa"/>
            <w:tcMar>
              <w:top w:w="90" w:type="dxa"/>
              <w:left w:w="100" w:type="dxa"/>
              <w:bottom w:w="90" w:type="dxa"/>
              <w:right w:w="100" w:type="dxa"/>
            </w:tcMar>
            <w:vAlign w:val="center"/>
          </w:tcPr>
          <w:p w14:paraId="42065EA1" w14:textId="77777777" w:rsidR="009B5AA7" w:rsidRDefault="00000000">
            <w:pPr>
              <w:spacing w:after="0" w:line="240" w:lineRule="auto"/>
              <w:rPr>
                <w:rFonts w:hint="eastAsia"/>
              </w:rPr>
            </w:pPr>
            <w:r>
              <w:rPr>
                <w:sz w:val="18"/>
              </w:rPr>
              <w:t>Score frozen models, then evaluate rankings</w:t>
            </w:r>
          </w:p>
        </w:tc>
      </w:tr>
    </w:tbl>
    <w:p w14:paraId="20EA699D" w14:textId="77777777" w:rsidR="009B5AA7" w:rsidRDefault="009B5AA7">
      <w:pPr>
        <w:spacing w:after="0"/>
        <w:rPr>
          <w:rFonts w:hint="eastAsia"/>
        </w:rPr>
      </w:pPr>
    </w:p>
    <w:p w14:paraId="5BE26607" w14:textId="77777777" w:rsidR="009B5AA7" w:rsidRDefault="00000000">
      <w:pPr>
        <w:pStyle w:val="21"/>
      </w:pPr>
      <w:r>
        <w:t>Data quality checks</w:t>
      </w:r>
    </w:p>
    <w:p w14:paraId="17710B03" w14:textId="77777777" w:rsidR="009B5AA7" w:rsidRDefault="00000000">
      <w:pPr>
        <w:rPr>
          <w:rFonts w:hint="eastAsia"/>
        </w:rPr>
      </w:pPr>
      <w:r>
        <w:t>The preparation pipeline verifies the expected schema, finite features, binary treatment and outcomes, Conversion nesting within Visit, and the absence of exposed controls. It also checks treatment balance and preserves repeated feature profiles because a feature-level duplicate is not evidence that two released advertising records represent the same event. The largest absolute standardized mean difference across the twelve features is 0.0488.</w:t>
      </w:r>
    </w:p>
    <w:p w14:paraId="66C03E37" w14:textId="77777777" w:rsidR="009B5AA7" w:rsidRDefault="00000000">
      <w:pPr>
        <w:pStyle w:val="af7"/>
        <w:keepNext/>
        <w:jc w:val="center"/>
        <w:rPr>
          <w:rFonts w:hint="eastAsia"/>
        </w:rPr>
      </w:pPr>
      <w:r>
        <w:t>Figure 1  Standardized feature balance by randomized treatment assignment</w:t>
      </w:r>
    </w:p>
    <w:p w14:paraId="781FB2CC" w14:textId="77777777" w:rsidR="009B5AA7" w:rsidRDefault="00000000">
      <w:pPr>
        <w:keepLines/>
        <w:spacing w:after="200"/>
        <w:jc w:val="center"/>
        <w:rPr>
          <w:rFonts w:hint="eastAsia"/>
        </w:rPr>
      </w:pPr>
      <w:r>
        <w:rPr>
          <w:noProof/>
        </w:rPr>
        <w:drawing>
          <wp:inline distT="0" distB="0" distL="0" distR="0" wp14:anchorId="36986D06" wp14:editId="109B4072">
            <wp:extent cx="5623560" cy="32134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balance.png"/>
                    <pic:cNvPicPr/>
                  </pic:nvPicPr>
                  <pic:blipFill>
                    <a:blip r:embed="rId8"/>
                    <a:stretch>
                      <a:fillRect/>
                    </a:stretch>
                  </pic:blipFill>
                  <pic:spPr>
                    <a:xfrm>
                      <a:off x="0" y="0"/>
                      <a:ext cx="5623560" cy="3213463"/>
                    </a:xfrm>
                    <a:prstGeom prst="rect">
                      <a:avLst/>
                    </a:prstGeom>
                  </pic:spPr>
                </pic:pic>
              </a:graphicData>
            </a:graphic>
          </wp:inline>
        </w:drawing>
      </w:r>
    </w:p>
    <w:p w14:paraId="731B2EBF" w14:textId="77777777" w:rsidR="009B5AA7" w:rsidRDefault="00000000">
      <w:pPr>
        <w:pStyle w:val="1"/>
      </w:pPr>
      <w:r>
        <w:t>Average Advertising Incrementality</w:t>
      </w:r>
    </w:p>
    <w:p w14:paraId="74DD5224" w14:textId="77777777" w:rsidR="009B5AA7" w:rsidRDefault="00000000">
      <w:pPr>
        <w:rPr>
          <w:rFonts w:hint="eastAsia"/>
        </w:rPr>
      </w:pPr>
      <w:r>
        <w:t>Both outcomes show positive treatment-control differences. Confidence intervals are unpooled analytical 95% intervals and agree closely with treatment-stratified bootstrap intervals. Incremental counts are aggregate counterfactual estimates; no individual record’s treated and untreated outcomes are jointly observable.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80"/>
        <w:gridCol w:w="1152"/>
        <w:gridCol w:w="1224"/>
        <w:gridCol w:w="1152"/>
        <w:gridCol w:w="1800"/>
        <w:gridCol w:w="1152"/>
        <w:gridCol w:w="1584"/>
      </w:tblGrid>
      <w:tr w:rsidR="009B5AA7" w14:paraId="0EF9DCDD" w14:textId="77777777">
        <w:trPr>
          <w:tblHeader/>
        </w:trPr>
        <w:tc>
          <w:tcPr>
            <w:tcW w:w="1080" w:type="dxa"/>
            <w:shd w:val="clear" w:color="auto" w:fill="17365D"/>
            <w:tcMar>
              <w:top w:w="110" w:type="dxa"/>
              <w:left w:w="100" w:type="dxa"/>
              <w:bottom w:w="110" w:type="dxa"/>
              <w:right w:w="100" w:type="dxa"/>
            </w:tcMar>
            <w:vAlign w:val="center"/>
          </w:tcPr>
          <w:p w14:paraId="69A5198D" w14:textId="77777777" w:rsidR="009B5AA7" w:rsidRDefault="00000000">
            <w:pPr>
              <w:spacing w:after="0"/>
              <w:jc w:val="center"/>
              <w:rPr>
                <w:rFonts w:hint="eastAsia"/>
              </w:rPr>
            </w:pPr>
            <w:r>
              <w:rPr>
                <w:b/>
                <w:color w:val="FFFFFF"/>
                <w:sz w:val="16"/>
              </w:rPr>
              <w:lastRenderedPageBreak/>
              <w:t>Outcome</w:t>
            </w:r>
          </w:p>
        </w:tc>
        <w:tc>
          <w:tcPr>
            <w:tcW w:w="1152" w:type="dxa"/>
            <w:shd w:val="clear" w:color="auto" w:fill="17365D"/>
            <w:tcMar>
              <w:top w:w="110" w:type="dxa"/>
              <w:left w:w="100" w:type="dxa"/>
              <w:bottom w:w="110" w:type="dxa"/>
              <w:right w:w="100" w:type="dxa"/>
            </w:tcMar>
            <w:vAlign w:val="center"/>
          </w:tcPr>
          <w:p w14:paraId="7DD21467" w14:textId="77777777" w:rsidR="009B5AA7" w:rsidRDefault="00000000">
            <w:pPr>
              <w:spacing w:after="0"/>
              <w:jc w:val="center"/>
              <w:rPr>
                <w:rFonts w:hint="eastAsia"/>
              </w:rPr>
            </w:pPr>
            <w:r>
              <w:rPr>
                <w:b/>
                <w:color w:val="FFFFFF"/>
                <w:sz w:val="16"/>
              </w:rPr>
              <w:t>Control rate</w:t>
            </w:r>
          </w:p>
        </w:tc>
        <w:tc>
          <w:tcPr>
            <w:tcW w:w="1224" w:type="dxa"/>
            <w:shd w:val="clear" w:color="auto" w:fill="17365D"/>
            <w:tcMar>
              <w:top w:w="110" w:type="dxa"/>
              <w:left w:w="100" w:type="dxa"/>
              <w:bottom w:w="110" w:type="dxa"/>
              <w:right w:w="100" w:type="dxa"/>
            </w:tcMar>
            <w:vAlign w:val="center"/>
          </w:tcPr>
          <w:p w14:paraId="7F65BFFB" w14:textId="77777777" w:rsidR="009B5AA7" w:rsidRDefault="00000000">
            <w:pPr>
              <w:spacing w:after="0"/>
              <w:jc w:val="center"/>
              <w:rPr>
                <w:rFonts w:hint="eastAsia"/>
              </w:rPr>
            </w:pPr>
            <w:r>
              <w:rPr>
                <w:b/>
                <w:color w:val="FFFFFF"/>
                <w:sz w:val="16"/>
              </w:rPr>
              <w:t>Treatment rate</w:t>
            </w:r>
          </w:p>
        </w:tc>
        <w:tc>
          <w:tcPr>
            <w:tcW w:w="1152" w:type="dxa"/>
            <w:shd w:val="clear" w:color="auto" w:fill="17365D"/>
            <w:tcMar>
              <w:top w:w="110" w:type="dxa"/>
              <w:left w:w="100" w:type="dxa"/>
              <w:bottom w:w="110" w:type="dxa"/>
              <w:right w:w="100" w:type="dxa"/>
            </w:tcMar>
            <w:vAlign w:val="center"/>
          </w:tcPr>
          <w:p w14:paraId="7D82F717" w14:textId="77777777" w:rsidR="009B5AA7" w:rsidRDefault="00000000">
            <w:pPr>
              <w:spacing w:after="0"/>
              <w:jc w:val="center"/>
              <w:rPr>
                <w:rFonts w:hint="eastAsia"/>
              </w:rPr>
            </w:pPr>
            <w:r>
              <w:rPr>
                <w:b/>
                <w:color w:val="FFFFFF"/>
                <w:sz w:val="16"/>
              </w:rPr>
              <w:t>Absolute lift</w:t>
            </w:r>
          </w:p>
        </w:tc>
        <w:tc>
          <w:tcPr>
            <w:tcW w:w="1800" w:type="dxa"/>
            <w:shd w:val="clear" w:color="auto" w:fill="17365D"/>
            <w:tcMar>
              <w:top w:w="110" w:type="dxa"/>
              <w:left w:w="100" w:type="dxa"/>
              <w:bottom w:w="110" w:type="dxa"/>
              <w:right w:w="100" w:type="dxa"/>
            </w:tcMar>
            <w:vAlign w:val="center"/>
          </w:tcPr>
          <w:p w14:paraId="244E37C0" w14:textId="77777777" w:rsidR="009B5AA7" w:rsidRDefault="00000000">
            <w:pPr>
              <w:spacing w:after="0"/>
              <w:jc w:val="center"/>
              <w:rPr>
                <w:rFonts w:hint="eastAsia"/>
              </w:rPr>
            </w:pPr>
            <w:r>
              <w:rPr>
                <w:b/>
                <w:color w:val="FFFFFF"/>
                <w:sz w:val="16"/>
              </w:rPr>
              <w:t>95% interval</w:t>
            </w:r>
          </w:p>
        </w:tc>
        <w:tc>
          <w:tcPr>
            <w:tcW w:w="1152" w:type="dxa"/>
            <w:shd w:val="clear" w:color="auto" w:fill="17365D"/>
            <w:tcMar>
              <w:top w:w="110" w:type="dxa"/>
              <w:left w:w="100" w:type="dxa"/>
              <w:bottom w:w="110" w:type="dxa"/>
              <w:right w:w="100" w:type="dxa"/>
            </w:tcMar>
            <w:vAlign w:val="center"/>
          </w:tcPr>
          <w:p w14:paraId="67BD871B" w14:textId="77777777" w:rsidR="009B5AA7" w:rsidRDefault="00000000">
            <w:pPr>
              <w:spacing w:after="0"/>
              <w:jc w:val="center"/>
              <w:rPr>
                <w:rFonts w:hint="eastAsia"/>
              </w:rPr>
            </w:pPr>
            <w:r>
              <w:rPr>
                <w:b/>
                <w:color w:val="FFFFFF"/>
                <w:sz w:val="16"/>
              </w:rPr>
              <w:t>Relative lift</w:t>
            </w:r>
          </w:p>
        </w:tc>
        <w:tc>
          <w:tcPr>
            <w:tcW w:w="1584" w:type="dxa"/>
            <w:shd w:val="clear" w:color="auto" w:fill="17365D"/>
            <w:tcMar>
              <w:top w:w="110" w:type="dxa"/>
              <w:left w:w="100" w:type="dxa"/>
              <w:bottom w:w="110" w:type="dxa"/>
              <w:right w:w="100" w:type="dxa"/>
            </w:tcMar>
            <w:vAlign w:val="center"/>
          </w:tcPr>
          <w:p w14:paraId="6CF50626" w14:textId="77777777" w:rsidR="009B5AA7" w:rsidRDefault="00000000">
            <w:pPr>
              <w:spacing w:after="0"/>
              <w:jc w:val="center"/>
              <w:rPr>
                <w:rFonts w:hint="eastAsia"/>
              </w:rPr>
            </w:pPr>
            <w:r>
              <w:rPr>
                <w:b/>
                <w:color w:val="FFFFFF"/>
                <w:sz w:val="16"/>
              </w:rPr>
              <w:t>Incremental among treated</w:t>
            </w:r>
          </w:p>
        </w:tc>
      </w:tr>
      <w:tr w:rsidR="009B5AA7" w14:paraId="1A6F8B49" w14:textId="77777777">
        <w:trPr>
          <w:cantSplit/>
        </w:trPr>
        <w:tc>
          <w:tcPr>
            <w:tcW w:w="1080" w:type="dxa"/>
            <w:tcMar>
              <w:top w:w="90" w:type="dxa"/>
              <w:left w:w="100" w:type="dxa"/>
              <w:bottom w:w="90" w:type="dxa"/>
              <w:right w:w="100" w:type="dxa"/>
            </w:tcMar>
            <w:vAlign w:val="center"/>
          </w:tcPr>
          <w:p w14:paraId="229AC3E8" w14:textId="77777777" w:rsidR="009B5AA7" w:rsidRDefault="00000000">
            <w:pPr>
              <w:spacing w:after="0" w:line="240" w:lineRule="auto"/>
              <w:jc w:val="center"/>
              <w:rPr>
                <w:rFonts w:hint="eastAsia"/>
              </w:rPr>
            </w:pPr>
            <w:r>
              <w:rPr>
                <w:sz w:val="16"/>
              </w:rPr>
              <w:t>Visit</w:t>
            </w:r>
          </w:p>
        </w:tc>
        <w:tc>
          <w:tcPr>
            <w:tcW w:w="1152" w:type="dxa"/>
            <w:tcMar>
              <w:top w:w="90" w:type="dxa"/>
              <w:left w:w="100" w:type="dxa"/>
              <w:bottom w:w="90" w:type="dxa"/>
              <w:right w:w="100" w:type="dxa"/>
            </w:tcMar>
            <w:vAlign w:val="center"/>
          </w:tcPr>
          <w:p w14:paraId="265A68E9" w14:textId="77777777" w:rsidR="009B5AA7" w:rsidRDefault="00000000">
            <w:pPr>
              <w:spacing w:after="0" w:line="240" w:lineRule="auto"/>
              <w:jc w:val="center"/>
              <w:rPr>
                <w:rFonts w:hint="eastAsia"/>
              </w:rPr>
            </w:pPr>
            <w:r>
              <w:rPr>
                <w:sz w:val="16"/>
              </w:rPr>
              <w:t>3.820%</w:t>
            </w:r>
          </w:p>
        </w:tc>
        <w:tc>
          <w:tcPr>
            <w:tcW w:w="1224" w:type="dxa"/>
            <w:tcMar>
              <w:top w:w="90" w:type="dxa"/>
              <w:left w:w="100" w:type="dxa"/>
              <w:bottom w:w="90" w:type="dxa"/>
              <w:right w:w="100" w:type="dxa"/>
            </w:tcMar>
            <w:vAlign w:val="center"/>
          </w:tcPr>
          <w:p w14:paraId="75776D03" w14:textId="77777777" w:rsidR="009B5AA7" w:rsidRDefault="00000000">
            <w:pPr>
              <w:spacing w:after="0" w:line="240" w:lineRule="auto"/>
              <w:jc w:val="center"/>
              <w:rPr>
                <w:rFonts w:hint="eastAsia"/>
              </w:rPr>
            </w:pPr>
            <w:r>
              <w:rPr>
                <w:sz w:val="16"/>
              </w:rPr>
              <w:t>4.854%</w:t>
            </w:r>
          </w:p>
        </w:tc>
        <w:tc>
          <w:tcPr>
            <w:tcW w:w="1152" w:type="dxa"/>
            <w:tcMar>
              <w:top w:w="90" w:type="dxa"/>
              <w:left w:w="100" w:type="dxa"/>
              <w:bottom w:w="90" w:type="dxa"/>
              <w:right w:w="100" w:type="dxa"/>
            </w:tcMar>
            <w:vAlign w:val="center"/>
          </w:tcPr>
          <w:p w14:paraId="019DF90A" w14:textId="77777777" w:rsidR="009B5AA7" w:rsidRDefault="00000000">
            <w:pPr>
              <w:spacing w:after="0" w:line="240" w:lineRule="auto"/>
              <w:jc w:val="center"/>
              <w:rPr>
                <w:rFonts w:hint="eastAsia"/>
              </w:rPr>
            </w:pPr>
            <w:r>
              <w:rPr>
                <w:sz w:val="16"/>
              </w:rPr>
              <w:t>1.034 pp</w:t>
            </w:r>
          </w:p>
        </w:tc>
        <w:tc>
          <w:tcPr>
            <w:tcW w:w="1800" w:type="dxa"/>
            <w:tcMar>
              <w:top w:w="90" w:type="dxa"/>
              <w:left w:w="100" w:type="dxa"/>
              <w:bottom w:w="90" w:type="dxa"/>
              <w:right w:w="100" w:type="dxa"/>
            </w:tcMar>
            <w:vAlign w:val="center"/>
          </w:tcPr>
          <w:p w14:paraId="2467AC28" w14:textId="77777777" w:rsidR="009B5AA7" w:rsidRDefault="00000000">
            <w:pPr>
              <w:spacing w:after="0" w:line="240" w:lineRule="auto"/>
              <w:jc w:val="center"/>
              <w:rPr>
                <w:rFonts w:hint="eastAsia"/>
              </w:rPr>
            </w:pPr>
            <w:r>
              <w:rPr>
                <w:sz w:val="16"/>
              </w:rPr>
              <w:t>1.006 to 1.063 pp</w:t>
            </w:r>
          </w:p>
        </w:tc>
        <w:tc>
          <w:tcPr>
            <w:tcW w:w="1152" w:type="dxa"/>
            <w:tcMar>
              <w:top w:w="90" w:type="dxa"/>
              <w:left w:w="100" w:type="dxa"/>
              <w:bottom w:w="90" w:type="dxa"/>
              <w:right w:w="100" w:type="dxa"/>
            </w:tcMar>
            <w:vAlign w:val="center"/>
          </w:tcPr>
          <w:p w14:paraId="384444DD" w14:textId="77777777" w:rsidR="009B5AA7" w:rsidRDefault="00000000">
            <w:pPr>
              <w:spacing w:after="0" w:line="240" w:lineRule="auto"/>
              <w:jc w:val="center"/>
              <w:rPr>
                <w:rFonts w:hint="eastAsia"/>
              </w:rPr>
            </w:pPr>
            <w:r>
              <w:rPr>
                <w:sz w:val="16"/>
              </w:rPr>
              <w:t>27.07%</w:t>
            </w:r>
          </w:p>
        </w:tc>
        <w:tc>
          <w:tcPr>
            <w:tcW w:w="1584" w:type="dxa"/>
            <w:tcMar>
              <w:top w:w="90" w:type="dxa"/>
              <w:left w:w="100" w:type="dxa"/>
              <w:bottom w:w="90" w:type="dxa"/>
              <w:right w:w="100" w:type="dxa"/>
            </w:tcMar>
            <w:vAlign w:val="center"/>
          </w:tcPr>
          <w:p w14:paraId="2E129875" w14:textId="77777777" w:rsidR="009B5AA7" w:rsidRDefault="00000000">
            <w:pPr>
              <w:spacing w:after="0" w:line="240" w:lineRule="auto"/>
              <w:jc w:val="center"/>
              <w:rPr>
                <w:rFonts w:hint="eastAsia"/>
              </w:rPr>
            </w:pPr>
            <w:r>
              <w:rPr>
                <w:sz w:val="16"/>
              </w:rPr>
              <w:t>122,895</w:t>
            </w:r>
          </w:p>
        </w:tc>
      </w:tr>
      <w:tr w:rsidR="009B5AA7" w14:paraId="681CA867" w14:textId="77777777">
        <w:trPr>
          <w:cantSplit/>
        </w:trPr>
        <w:tc>
          <w:tcPr>
            <w:tcW w:w="1080" w:type="dxa"/>
            <w:shd w:val="clear" w:color="auto" w:fill="F5F7FA"/>
            <w:tcMar>
              <w:top w:w="90" w:type="dxa"/>
              <w:left w:w="100" w:type="dxa"/>
              <w:bottom w:w="90" w:type="dxa"/>
              <w:right w:w="100" w:type="dxa"/>
            </w:tcMar>
            <w:vAlign w:val="center"/>
          </w:tcPr>
          <w:p w14:paraId="443F2DA3" w14:textId="77777777" w:rsidR="009B5AA7" w:rsidRDefault="00000000">
            <w:pPr>
              <w:spacing w:after="0" w:line="240" w:lineRule="auto"/>
              <w:jc w:val="center"/>
              <w:rPr>
                <w:rFonts w:hint="eastAsia"/>
              </w:rPr>
            </w:pPr>
            <w:r>
              <w:rPr>
                <w:sz w:val="16"/>
              </w:rPr>
              <w:t>Conversion</w:t>
            </w:r>
          </w:p>
        </w:tc>
        <w:tc>
          <w:tcPr>
            <w:tcW w:w="1152" w:type="dxa"/>
            <w:shd w:val="clear" w:color="auto" w:fill="F5F7FA"/>
            <w:tcMar>
              <w:top w:w="90" w:type="dxa"/>
              <w:left w:w="100" w:type="dxa"/>
              <w:bottom w:w="90" w:type="dxa"/>
              <w:right w:w="100" w:type="dxa"/>
            </w:tcMar>
            <w:vAlign w:val="center"/>
          </w:tcPr>
          <w:p w14:paraId="46C68FF2" w14:textId="77777777" w:rsidR="009B5AA7" w:rsidRDefault="00000000">
            <w:pPr>
              <w:spacing w:after="0" w:line="240" w:lineRule="auto"/>
              <w:jc w:val="center"/>
              <w:rPr>
                <w:rFonts w:hint="eastAsia"/>
              </w:rPr>
            </w:pPr>
            <w:r>
              <w:rPr>
                <w:sz w:val="16"/>
              </w:rPr>
              <w:t>0.194%</w:t>
            </w:r>
          </w:p>
        </w:tc>
        <w:tc>
          <w:tcPr>
            <w:tcW w:w="1224" w:type="dxa"/>
            <w:shd w:val="clear" w:color="auto" w:fill="F5F7FA"/>
            <w:tcMar>
              <w:top w:w="90" w:type="dxa"/>
              <w:left w:w="100" w:type="dxa"/>
              <w:bottom w:w="90" w:type="dxa"/>
              <w:right w:w="100" w:type="dxa"/>
            </w:tcMar>
            <w:vAlign w:val="center"/>
          </w:tcPr>
          <w:p w14:paraId="4A8D0690" w14:textId="77777777" w:rsidR="009B5AA7" w:rsidRDefault="00000000">
            <w:pPr>
              <w:spacing w:after="0" w:line="240" w:lineRule="auto"/>
              <w:jc w:val="center"/>
              <w:rPr>
                <w:rFonts w:hint="eastAsia"/>
              </w:rPr>
            </w:pPr>
            <w:r>
              <w:rPr>
                <w:sz w:val="16"/>
              </w:rPr>
              <w:t>0.309%</w:t>
            </w:r>
          </w:p>
        </w:tc>
        <w:tc>
          <w:tcPr>
            <w:tcW w:w="1152" w:type="dxa"/>
            <w:shd w:val="clear" w:color="auto" w:fill="F5F7FA"/>
            <w:tcMar>
              <w:top w:w="90" w:type="dxa"/>
              <w:left w:w="100" w:type="dxa"/>
              <w:bottom w:w="90" w:type="dxa"/>
              <w:right w:w="100" w:type="dxa"/>
            </w:tcMar>
            <w:vAlign w:val="center"/>
          </w:tcPr>
          <w:p w14:paraId="1F419F60" w14:textId="77777777" w:rsidR="009B5AA7" w:rsidRDefault="00000000">
            <w:pPr>
              <w:spacing w:after="0" w:line="240" w:lineRule="auto"/>
              <w:jc w:val="center"/>
              <w:rPr>
                <w:rFonts w:hint="eastAsia"/>
              </w:rPr>
            </w:pPr>
            <w:r>
              <w:rPr>
                <w:sz w:val="16"/>
              </w:rPr>
              <w:t>0.115 pp</w:t>
            </w:r>
          </w:p>
        </w:tc>
        <w:tc>
          <w:tcPr>
            <w:tcW w:w="1800" w:type="dxa"/>
            <w:shd w:val="clear" w:color="auto" w:fill="F5F7FA"/>
            <w:tcMar>
              <w:top w:w="90" w:type="dxa"/>
              <w:left w:w="100" w:type="dxa"/>
              <w:bottom w:w="90" w:type="dxa"/>
              <w:right w:w="100" w:type="dxa"/>
            </w:tcMar>
            <w:vAlign w:val="center"/>
          </w:tcPr>
          <w:p w14:paraId="338BF048" w14:textId="77777777" w:rsidR="009B5AA7" w:rsidRDefault="00000000">
            <w:pPr>
              <w:spacing w:after="0" w:line="240" w:lineRule="auto"/>
              <w:jc w:val="center"/>
              <w:rPr>
                <w:rFonts w:hint="eastAsia"/>
              </w:rPr>
            </w:pPr>
            <w:r>
              <w:rPr>
                <w:sz w:val="16"/>
              </w:rPr>
              <w:t>0.108 to 0.122 pp</w:t>
            </w:r>
          </w:p>
        </w:tc>
        <w:tc>
          <w:tcPr>
            <w:tcW w:w="1152" w:type="dxa"/>
            <w:shd w:val="clear" w:color="auto" w:fill="F5F7FA"/>
            <w:tcMar>
              <w:top w:w="90" w:type="dxa"/>
              <w:left w:w="100" w:type="dxa"/>
              <w:bottom w:w="90" w:type="dxa"/>
              <w:right w:w="100" w:type="dxa"/>
            </w:tcMar>
            <w:vAlign w:val="center"/>
          </w:tcPr>
          <w:p w14:paraId="1A8DBBCC" w14:textId="77777777" w:rsidR="009B5AA7" w:rsidRDefault="00000000">
            <w:pPr>
              <w:spacing w:after="0" w:line="240" w:lineRule="auto"/>
              <w:jc w:val="center"/>
              <w:rPr>
                <w:rFonts w:hint="eastAsia"/>
              </w:rPr>
            </w:pPr>
            <w:r>
              <w:rPr>
                <w:sz w:val="16"/>
              </w:rPr>
              <w:t>59.45%</w:t>
            </w:r>
          </w:p>
        </w:tc>
        <w:tc>
          <w:tcPr>
            <w:tcW w:w="1584" w:type="dxa"/>
            <w:shd w:val="clear" w:color="auto" w:fill="F5F7FA"/>
            <w:tcMar>
              <w:top w:w="90" w:type="dxa"/>
              <w:left w:w="100" w:type="dxa"/>
              <w:bottom w:w="90" w:type="dxa"/>
              <w:right w:w="100" w:type="dxa"/>
            </w:tcMar>
            <w:vAlign w:val="center"/>
          </w:tcPr>
          <w:p w14:paraId="4A6A3915" w14:textId="77777777" w:rsidR="009B5AA7" w:rsidRDefault="00000000">
            <w:pPr>
              <w:spacing w:after="0" w:line="240" w:lineRule="auto"/>
              <w:jc w:val="center"/>
              <w:rPr>
                <w:rFonts w:hint="eastAsia"/>
              </w:rPr>
            </w:pPr>
            <w:r>
              <w:rPr>
                <w:sz w:val="16"/>
              </w:rPr>
              <w:t>13,687</w:t>
            </w:r>
          </w:p>
        </w:tc>
      </w:tr>
    </w:tbl>
    <w:p w14:paraId="2E756617" w14:textId="77777777" w:rsidR="009B5AA7" w:rsidRDefault="009B5AA7">
      <w:pPr>
        <w:spacing w:after="0"/>
        <w:rPr>
          <w:rFonts w:hint="eastAsia"/>
        </w:rPr>
      </w:pPr>
    </w:p>
    <w:p w14:paraId="68DA3EB2" w14:textId="77777777" w:rsidR="009B5AA7" w:rsidRDefault="00000000">
      <w:pPr>
        <w:pStyle w:val="af7"/>
        <w:keepNext/>
        <w:jc w:val="center"/>
        <w:rPr>
          <w:rFonts w:hint="eastAsia"/>
        </w:rPr>
      </w:pPr>
      <w:r>
        <w:t>Figure 2  Randomized treatment-control effects for Visit and Conversion</w:t>
      </w:r>
    </w:p>
    <w:p w14:paraId="17A4114D" w14:textId="77777777" w:rsidR="009B5AA7" w:rsidRDefault="00000000">
      <w:pPr>
        <w:keepLines/>
        <w:spacing w:after="200"/>
        <w:jc w:val="center"/>
        <w:rPr>
          <w:rFonts w:hint="eastAsia"/>
        </w:rPr>
      </w:pPr>
      <w:r>
        <w:rPr>
          <w:noProof/>
        </w:rPr>
        <w:drawing>
          <wp:inline distT="0" distB="0" distL="0" distR="0" wp14:anchorId="2F0410E9" wp14:editId="4A0976A9">
            <wp:extent cx="5715000" cy="33708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olute_lift.png"/>
                    <pic:cNvPicPr/>
                  </pic:nvPicPr>
                  <pic:blipFill>
                    <a:blip r:embed="rId9"/>
                    <a:stretch>
                      <a:fillRect/>
                    </a:stretch>
                  </pic:blipFill>
                  <pic:spPr>
                    <a:xfrm>
                      <a:off x="0" y="0"/>
                      <a:ext cx="5715000" cy="3370851"/>
                    </a:xfrm>
                    <a:prstGeom prst="rect">
                      <a:avLst/>
                    </a:prstGeom>
                  </pic:spPr>
                </pic:pic>
              </a:graphicData>
            </a:graphic>
          </wp:inline>
        </w:drawing>
      </w:r>
    </w:p>
    <w:p>
      <w:pPr>
        <w:pStyle w:val="21"/>
      </w:pPr>
      <w:r>
        <w:t>Prediction → Experiment → Policy Validation</w:t>
      </w:r>
    </w:p>
    <w:p>
      <w:pPr>
        <w:spacing w:after="120"/>
      </w:pPr>
      <w:r>
        <w:t>The workflow separates three different decision tasks. Response prediction estimates who is likely to Visit or Convert; the randomized A/B test establishes whether advertising creates average causal lift; and uplift modeling ranks whose behavior is most likely to change because of treatment. The selected targeting rule is then compared with random and response-based policies on held-out data and should be validated prospectively in a new randomized policy test before deployment.</w:t>
      </w:r>
    </w:p>
    <w:p w14:paraId="0C387A43" w14:textId="77777777" w:rsidR="009B5AA7" w:rsidRDefault="00000000">
      <w:pPr>
        <w:rPr>
          <w:rFonts w:hint="eastAsia"/>
        </w:rPr>
      </w:pPr>
      <w:r>
        <w:br w:type="page"/>
      </w:r>
    </w:p>
    <w:p w14:paraId="6DB71429" w14:textId="77777777" w:rsidR="009B5AA7" w:rsidRDefault="00000000">
      <w:pPr>
        <w:pStyle w:val="1"/>
      </w:pPr>
      <w:r>
        <w:lastRenderedPageBreak/>
        <w:t>Uplift Modeling</w:t>
      </w:r>
    </w:p>
    <w:p w14:paraId="238D4F19" w14:textId="77777777" w:rsidR="009B5AA7" w:rsidRDefault="00000000">
      <w:pPr>
        <w:rPr>
          <w:rFonts w:hint="eastAsia"/>
        </w:rPr>
      </w:pPr>
      <w:r>
        <w:t>Separate LightGBM models are fitted for Visit and Conversion. The S-Learner estimates one response function using features and treatment, then subtracts predictions under treatment and control. The T-Learner fits separate treatment and control response functions. The historical x_learner artifact is a pooled X-style model fitted to imputed-effect pseudo-outcomes; it is not the canonical two-effect-regressor, propensity-blended X-Learner.</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4032"/>
        <w:gridCol w:w="3240"/>
      </w:tblGrid>
      <w:tr w:rsidR="009B5AA7" w14:paraId="17AC3E12" w14:textId="77777777">
        <w:trPr>
          <w:tblHeader/>
        </w:trPr>
        <w:tc>
          <w:tcPr>
            <w:tcW w:w="1800" w:type="dxa"/>
            <w:shd w:val="clear" w:color="auto" w:fill="17365D"/>
            <w:tcMar>
              <w:top w:w="110" w:type="dxa"/>
              <w:left w:w="100" w:type="dxa"/>
              <w:bottom w:w="110" w:type="dxa"/>
              <w:right w:w="100" w:type="dxa"/>
            </w:tcMar>
            <w:vAlign w:val="center"/>
          </w:tcPr>
          <w:p w14:paraId="7F2042A0" w14:textId="77777777" w:rsidR="009B5AA7" w:rsidRDefault="00000000">
            <w:pPr>
              <w:spacing w:after="0"/>
              <w:jc w:val="center"/>
              <w:rPr>
                <w:rFonts w:hint="eastAsia"/>
              </w:rPr>
            </w:pPr>
            <w:r>
              <w:rPr>
                <w:b/>
                <w:color w:val="FFFFFF"/>
                <w:sz w:val="17"/>
              </w:rPr>
              <w:t>Model</w:t>
            </w:r>
          </w:p>
        </w:tc>
        <w:tc>
          <w:tcPr>
            <w:tcW w:w="4032" w:type="dxa"/>
            <w:shd w:val="clear" w:color="auto" w:fill="17365D"/>
            <w:tcMar>
              <w:top w:w="110" w:type="dxa"/>
              <w:left w:w="100" w:type="dxa"/>
              <w:bottom w:w="110" w:type="dxa"/>
              <w:right w:w="100" w:type="dxa"/>
            </w:tcMar>
            <w:vAlign w:val="center"/>
          </w:tcPr>
          <w:p w14:paraId="13A8FE72" w14:textId="77777777" w:rsidR="009B5AA7" w:rsidRDefault="00000000">
            <w:pPr>
              <w:spacing w:after="0"/>
              <w:jc w:val="center"/>
              <w:rPr>
                <w:rFonts w:hint="eastAsia"/>
              </w:rPr>
            </w:pPr>
            <w:r>
              <w:rPr>
                <w:b/>
                <w:color w:val="FFFFFF"/>
                <w:sz w:val="17"/>
              </w:rPr>
              <w:t>Construction</w:t>
            </w:r>
          </w:p>
        </w:tc>
        <w:tc>
          <w:tcPr>
            <w:tcW w:w="3240" w:type="dxa"/>
            <w:shd w:val="clear" w:color="auto" w:fill="17365D"/>
            <w:tcMar>
              <w:top w:w="110" w:type="dxa"/>
              <w:left w:w="100" w:type="dxa"/>
              <w:bottom w:w="110" w:type="dxa"/>
              <w:right w:w="100" w:type="dxa"/>
            </w:tcMar>
            <w:vAlign w:val="center"/>
          </w:tcPr>
          <w:p w14:paraId="55361ABA" w14:textId="77777777" w:rsidR="009B5AA7" w:rsidRDefault="00000000">
            <w:pPr>
              <w:spacing w:after="0"/>
              <w:jc w:val="center"/>
              <w:rPr>
                <w:rFonts w:hint="eastAsia"/>
              </w:rPr>
            </w:pPr>
            <w:r>
              <w:rPr>
                <w:b/>
                <w:color w:val="FFFFFF"/>
                <w:sz w:val="17"/>
              </w:rPr>
              <w:t>Role in the comparison</w:t>
            </w:r>
          </w:p>
        </w:tc>
      </w:tr>
      <w:tr w:rsidR="009B5AA7" w14:paraId="256C794D" w14:textId="77777777">
        <w:trPr>
          <w:cantSplit/>
        </w:trPr>
        <w:tc>
          <w:tcPr>
            <w:tcW w:w="1800" w:type="dxa"/>
            <w:tcMar>
              <w:top w:w="90" w:type="dxa"/>
              <w:left w:w="100" w:type="dxa"/>
              <w:bottom w:w="90" w:type="dxa"/>
              <w:right w:w="100" w:type="dxa"/>
            </w:tcMar>
            <w:vAlign w:val="center"/>
          </w:tcPr>
          <w:p w14:paraId="45D5EC9D" w14:textId="77777777" w:rsidR="009B5AA7" w:rsidRDefault="00000000">
            <w:pPr>
              <w:spacing w:after="0" w:line="240" w:lineRule="auto"/>
              <w:rPr>
                <w:rFonts w:hint="eastAsia"/>
              </w:rPr>
            </w:pPr>
            <w:r>
              <w:rPr>
                <w:sz w:val="17"/>
              </w:rPr>
              <w:t>S-Learner</w:t>
            </w:r>
          </w:p>
        </w:tc>
        <w:tc>
          <w:tcPr>
            <w:tcW w:w="4032" w:type="dxa"/>
            <w:tcMar>
              <w:top w:w="90" w:type="dxa"/>
              <w:left w:w="100" w:type="dxa"/>
              <w:bottom w:w="90" w:type="dxa"/>
              <w:right w:w="100" w:type="dxa"/>
            </w:tcMar>
            <w:vAlign w:val="center"/>
          </w:tcPr>
          <w:p w14:paraId="3AE32617" w14:textId="77777777" w:rsidR="009B5AA7" w:rsidRDefault="00000000">
            <w:pPr>
              <w:spacing w:after="0" w:line="240" w:lineRule="auto"/>
              <w:rPr>
                <w:rFonts w:hint="eastAsia"/>
              </w:rPr>
            </w:pPr>
            <w:r>
              <w:rPr>
                <w:sz w:val="17"/>
              </w:rPr>
              <w:t>One response model scored at treatment 1 and treatment 0</w:t>
            </w:r>
          </w:p>
        </w:tc>
        <w:tc>
          <w:tcPr>
            <w:tcW w:w="3240" w:type="dxa"/>
            <w:tcMar>
              <w:top w:w="90" w:type="dxa"/>
              <w:left w:w="100" w:type="dxa"/>
              <w:bottom w:w="90" w:type="dxa"/>
              <w:right w:w="100" w:type="dxa"/>
            </w:tcMar>
            <w:vAlign w:val="center"/>
          </w:tcPr>
          <w:p w14:paraId="37391F24" w14:textId="77777777" w:rsidR="009B5AA7" w:rsidRDefault="00000000">
            <w:pPr>
              <w:spacing w:after="0" w:line="240" w:lineRule="auto"/>
              <w:rPr>
                <w:rFonts w:hint="eastAsia"/>
              </w:rPr>
            </w:pPr>
            <w:r>
              <w:rPr>
                <w:sz w:val="17"/>
              </w:rPr>
              <w:t>Simple heterogeneous-effect ranking</w:t>
            </w:r>
          </w:p>
        </w:tc>
      </w:tr>
      <w:tr w:rsidR="009B5AA7" w14:paraId="16CF2D1F" w14:textId="77777777">
        <w:trPr>
          <w:cantSplit/>
        </w:trPr>
        <w:tc>
          <w:tcPr>
            <w:tcW w:w="1800" w:type="dxa"/>
            <w:shd w:val="clear" w:color="auto" w:fill="F5F7FA"/>
            <w:tcMar>
              <w:top w:w="90" w:type="dxa"/>
              <w:left w:w="100" w:type="dxa"/>
              <w:bottom w:w="90" w:type="dxa"/>
              <w:right w:w="100" w:type="dxa"/>
            </w:tcMar>
            <w:vAlign w:val="center"/>
          </w:tcPr>
          <w:p w14:paraId="4D7654EA" w14:textId="77777777" w:rsidR="009B5AA7" w:rsidRDefault="00000000">
            <w:pPr>
              <w:spacing w:after="0" w:line="240" w:lineRule="auto"/>
              <w:rPr>
                <w:rFonts w:hint="eastAsia"/>
              </w:rPr>
            </w:pPr>
            <w:r>
              <w:rPr>
                <w:sz w:val="17"/>
              </w:rPr>
              <w:t>T-Learner</w:t>
            </w:r>
          </w:p>
        </w:tc>
        <w:tc>
          <w:tcPr>
            <w:tcW w:w="4032" w:type="dxa"/>
            <w:shd w:val="clear" w:color="auto" w:fill="F5F7FA"/>
            <w:tcMar>
              <w:top w:w="90" w:type="dxa"/>
              <w:left w:w="100" w:type="dxa"/>
              <w:bottom w:w="90" w:type="dxa"/>
              <w:right w:w="100" w:type="dxa"/>
            </w:tcMar>
            <w:vAlign w:val="center"/>
          </w:tcPr>
          <w:p w14:paraId="4FA47BF5" w14:textId="77777777" w:rsidR="009B5AA7" w:rsidRDefault="00000000">
            <w:pPr>
              <w:spacing w:after="0" w:line="240" w:lineRule="auto"/>
              <w:rPr>
                <w:rFonts w:hint="eastAsia"/>
              </w:rPr>
            </w:pPr>
            <w:r>
              <w:rPr>
                <w:sz w:val="17"/>
              </w:rPr>
              <w:t>Separate response models for treatment and control</w:t>
            </w:r>
          </w:p>
        </w:tc>
        <w:tc>
          <w:tcPr>
            <w:tcW w:w="3240" w:type="dxa"/>
            <w:shd w:val="clear" w:color="auto" w:fill="F5F7FA"/>
            <w:tcMar>
              <w:top w:w="90" w:type="dxa"/>
              <w:left w:w="100" w:type="dxa"/>
              <w:bottom w:w="90" w:type="dxa"/>
              <w:right w:w="100" w:type="dxa"/>
            </w:tcMar>
            <w:vAlign w:val="center"/>
          </w:tcPr>
          <w:p w14:paraId="743455DE" w14:textId="77777777" w:rsidR="009B5AA7" w:rsidRDefault="00000000">
            <w:pPr>
              <w:spacing w:after="0" w:line="240" w:lineRule="auto"/>
              <w:rPr>
                <w:rFonts w:hint="eastAsia"/>
              </w:rPr>
            </w:pPr>
            <w:r>
              <w:rPr>
                <w:sz w:val="17"/>
              </w:rPr>
              <w:t>Allows arm-specific response functions</w:t>
            </w:r>
          </w:p>
        </w:tc>
      </w:tr>
      <w:tr w:rsidR="009B5AA7" w14:paraId="32DE868B" w14:textId="77777777">
        <w:trPr>
          <w:cantSplit/>
        </w:trPr>
        <w:tc>
          <w:tcPr>
            <w:tcW w:w="1800" w:type="dxa"/>
            <w:tcMar>
              <w:top w:w="90" w:type="dxa"/>
              <w:left w:w="100" w:type="dxa"/>
              <w:bottom w:w="90" w:type="dxa"/>
              <w:right w:w="100" w:type="dxa"/>
            </w:tcMar>
            <w:vAlign w:val="center"/>
          </w:tcPr>
          <w:p w14:paraId="2502C153" w14:textId="77777777" w:rsidR="009B5AA7" w:rsidRDefault="00000000">
            <w:pPr>
              <w:spacing w:after="0" w:line="240" w:lineRule="auto"/>
              <w:rPr>
                <w:rFonts w:hint="eastAsia"/>
              </w:rPr>
            </w:pPr>
            <w:r>
              <w:rPr>
                <w:sz w:val="17"/>
              </w:rPr>
              <w:t>Pooled X-style</w:t>
            </w:r>
          </w:p>
        </w:tc>
        <w:tc>
          <w:tcPr>
            <w:tcW w:w="4032" w:type="dxa"/>
            <w:tcMar>
              <w:top w:w="90" w:type="dxa"/>
              <w:left w:w="100" w:type="dxa"/>
              <w:bottom w:w="90" w:type="dxa"/>
              <w:right w:w="100" w:type="dxa"/>
            </w:tcMar>
            <w:vAlign w:val="center"/>
          </w:tcPr>
          <w:p w14:paraId="75BF566E" w14:textId="77777777" w:rsidR="009B5AA7" w:rsidRDefault="00000000">
            <w:pPr>
              <w:spacing w:after="0" w:line="240" w:lineRule="auto"/>
              <w:rPr>
                <w:rFonts w:hint="eastAsia"/>
              </w:rPr>
            </w:pPr>
            <w:r>
              <w:rPr>
                <w:sz w:val="17"/>
              </w:rPr>
              <w:t>One effect model fitted to pooled imputed-effect targets</w:t>
            </w:r>
          </w:p>
        </w:tc>
        <w:tc>
          <w:tcPr>
            <w:tcW w:w="3240" w:type="dxa"/>
            <w:tcMar>
              <w:top w:w="90" w:type="dxa"/>
              <w:left w:w="100" w:type="dxa"/>
              <w:bottom w:w="90" w:type="dxa"/>
              <w:right w:w="100" w:type="dxa"/>
            </w:tcMar>
            <w:vAlign w:val="center"/>
          </w:tcPr>
          <w:p w14:paraId="4863AC87" w14:textId="77777777" w:rsidR="009B5AA7" w:rsidRDefault="00000000">
            <w:pPr>
              <w:spacing w:after="0" w:line="240" w:lineRule="auto"/>
              <w:rPr>
                <w:rFonts w:hint="eastAsia"/>
              </w:rPr>
            </w:pPr>
            <w:r>
              <w:rPr>
                <w:sz w:val="17"/>
              </w:rPr>
              <w:t>Flexible effect ranking with higher complexity</w:t>
            </w:r>
          </w:p>
        </w:tc>
      </w:tr>
      <w:tr w:rsidR="009B5AA7" w14:paraId="5EDF6C48" w14:textId="77777777">
        <w:trPr>
          <w:cantSplit/>
        </w:trPr>
        <w:tc>
          <w:tcPr>
            <w:tcW w:w="1800" w:type="dxa"/>
            <w:shd w:val="clear" w:color="auto" w:fill="F5F7FA"/>
            <w:tcMar>
              <w:top w:w="90" w:type="dxa"/>
              <w:left w:w="100" w:type="dxa"/>
              <w:bottom w:w="90" w:type="dxa"/>
              <w:right w:w="100" w:type="dxa"/>
            </w:tcMar>
            <w:vAlign w:val="center"/>
          </w:tcPr>
          <w:p w14:paraId="1DDC519F" w14:textId="77777777" w:rsidR="009B5AA7" w:rsidRDefault="00000000">
            <w:pPr>
              <w:spacing w:after="0" w:line="240" w:lineRule="auto"/>
              <w:rPr>
                <w:rFonts w:hint="eastAsia"/>
              </w:rPr>
            </w:pPr>
            <w:r>
              <w:rPr>
                <w:sz w:val="17"/>
              </w:rPr>
              <w:t>Response propensity</w:t>
            </w:r>
          </w:p>
        </w:tc>
        <w:tc>
          <w:tcPr>
            <w:tcW w:w="4032" w:type="dxa"/>
            <w:shd w:val="clear" w:color="auto" w:fill="F5F7FA"/>
            <w:tcMar>
              <w:top w:w="90" w:type="dxa"/>
              <w:left w:w="100" w:type="dxa"/>
              <w:bottom w:w="90" w:type="dxa"/>
              <w:right w:w="100" w:type="dxa"/>
            </w:tcMar>
            <w:vAlign w:val="center"/>
          </w:tcPr>
          <w:p w14:paraId="28341369" w14:textId="77777777" w:rsidR="009B5AA7" w:rsidRDefault="00000000">
            <w:pPr>
              <w:spacing w:after="0" w:line="240" w:lineRule="auto"/>
              <w:rPr>
                <w:rFonts w:hint="eastAsia"/>
              </w:rPr>
            </w:pPr>
            <w:r>
              <w:rPr>
                <w:sz w:val="17"/>
              </w:rPr>
              <w:t>Predicted factual response probability</w:t>
            </w:r>
          </w:p>
        </w:tc>
        <w:tc>
          <w:tcPr>
            <w:tcW w:w="3240" w:type="dxa"/>
            <w:shd w:val="clear" w:color="auto" w:fill="F5F7FA"/>
            <w:tcMar>
              <w:top w:w="90" w:type="dxa"/>
              <w:left w:w="100" w:type="dxa"/>
              <w:bottom w:w="90" w:type="dxa"/>
              <w:right w:w="100" w:type="dxa"/>
            </w:tcMar>
            <w:vAlign w:val="center"/>
          </w:tcPr>
          <w:p w14:paraId="70D96408" w14:textId="77777777" w:rsidR="009B5AA7" w:rsidRDefault="00000000">
            <w:pPr>
              <w:spacing w:after="0" w:line="240" w:lineRule="auto"/>
              <w:rPr>
                <w:rFonts w:hint="eastAsia"/>
              </w:rPr>
            </w:pPr>
            <w:r>
              <w:rPr>
                <w:sz w:val="17"/>
              </w:rPr>
              <w:t>Conventional targeting benchmark</w:t>
            </w:r>
          </w:p>
        </w:tc>
      </w:tr>
      <w:tr w:rsidR="009B5AA7" w14:paraId="540D02BC" w14:textId="77777777">
        <w:trPr>
          <w:cantSplit/>
        </w:trPr>
        <w:tc>
          <w:tcPr>
            <w:tcW w:w="1800" w:type="dxa"/>
            <w:tcMar>
              <w:top w:w="90" w:type="dxa"/>
              <w:left w:w="100" w:type="dxa"/>
              <w:bottom w:w="90" w:type="dxa"/>
              <w:right w:w="100" w:type="dxa"/>
            </w:tcMar>
            <w:vAlign w:val="center"/>
          </w:tcPr>
          <w:p w14:paraId="3C49FD38" w14:textId="77777777" w:rsidR="009B5AA7" w:rsidRDefault="00000000">
            <w:pPr>
              <w:spacing w:after="0" w:line="240" w:lineRule="auto"/>
              <w:rPr>
                <w:rFonts w:hint="eastAsia"/>
              </w:rPr>
            </w:pPr>
            <w:r>
              <w:rPr>
                <w:sz w:val="17"/>
              </w:rPr>
              <w:t>Constant and segment baselines</w:t>
            </w:r>
          </w:p>
        </w:tc>
        <w:tc>
          <w:tcPr>
            <w:tcW w:w="4032" w:type="dxa"/>
            <w:tcMar>
              <w:top w:w="90" w:type="dxa"/>
              <w:left w:w="100" w:type="dxa"/>
              <w:bottom w:w="90" w:type="dxa"/>
              <w:right w:w="100" w:type="dxa"/>
            </w:tcMar>
            <w:vAlign w:val="center"/>
          </w:tcPr>
          <w:p w14:paraId="7D8418DE" w14:textId="77777777" w:rsidR="009B5AA7" w:rsidRDefault="00000000">
            <w:pPr>
              <w:spacing w:after="0" w:line="240" w:lineRule="auto"/>
              <w:rPr>
                <w:rFonts w:hint="eastAsia"/>
              </w:rPr>
            </w:pPr>
            <w:r>
              <w:rPr>
                <w:sz w:val="17"/>
              </w:rPr>
              <w:t>Overall ATE or validation-selected segment effects</w:t>
            </w:r>
          </w:p>
        </w:tc>
        <w:tc>
          <w:tcPr>
            <w:tcW w:w="3240" w:type="dxa"/>
            <w:tcMar>
              <w:top w:w="90" w:type="dxa"/>
              <w:left w:w="100" w:type="dxa"/>
              <w:bottom w:w="90" w:type="dxa"/>
              <w:right w:w="100" w:type="dxa"/>
            </w:tcMar>
            <w:vAlign w:val="center"/>
          </w:tcPr>
          <w:p w14:paraId="4FBB0072" w14:textId="77777777" w:rsidR="009B5AA7" w:rsidRDefault="00000000">
            <w:pPr>
              <w:spacing w:after="0" w:line="240" w:lineRule="auto"/>
              <w:rPr>
                <w:rFonts w:hint="eastAsia"/>
              </w:rPr>
            </w:pPr>
            <w:r>
              <w:rPr>
                <w:sz w:val="17"/>
              </w:rPr>
              <w:t>Structural reference strategies</w:t>
            </w:r>
          </w:p>
        </w:tc>
      </w:tr>
    </w:tbl>
    <w:p w14:paraId="122EC0AA" w14:textId="77777777" w:rsidR="009B5AA7" w:rsidRDefault="009B5AA7">
      <w:pPr>
        <w:spacing w:after="0"/>
        <w:rPr>
          <w:rFonts w:hint="eastAsia"/>
        </w:rPr>
      </w:pPr>
    </w:p>
    <w:p w14:paraId="26A1EF7C" w14:textId="77777777" w:rsidR="009B5AA7" w:rsidRDefault="00000000">
      <w:pPr>
        <w:pStyle w:val="1"/>
      </w:pPr>
      <w:r>
        <w:t>Evaluation Logic and Metrics</w:t>
      </w:r>
    </w:p>
    <w:p w14:paraId="2D6D2497" w14:textId="77777777" w:rsidR="009B5AA7" w:rsidRDefault="00000000">
      <w:pPr>
        <w:rPr>
          <w:rFonts w:hint="eastAsia"/>
        </w:rPr>
      </w:pPr>
      <w:r>
        <w:t>Individual treatment effects cannot be observed directly. Phase 4 therefore evaluates ranking quality by comparing randomized treatment and control outcomes within score-ranked groups. Group 1 always contains the highest predicted uplift, with a deterministic tie-breaker based on the technical row identifier.</w:t>
      </w:r>
    </w:p>
    <w:p w14:paraId="4F2185B4" w14:textId="77777777" w:rsidR="009B5AA7" w:rsidRDefault="00000000">
      <w:pPr>
        <w:pStyle w:val="a0"/>
        <w:rPr>
          <w:rFonts w:hint="eastAsia"/>
        </w:rPr>
      </w:pPr>
      <w:r>
        <w:t>Selected-group uplift is the treatment outcome rate minus the control outcome rate among selected records.</w:t>
      </w:r>
    </w:p>
    <w:p w14:paraId="541323DB" w14:textId="77777777" w:rsidR="009B5AA7" w:rsidRDefault="00000000">
      <w:pPr>
        <w:pStyle w:val="a0"/>
        <w:rPr>
          <w:rFonts w:hint="eastAsia"/>
        </w:rPr>
      </w:pPr>
      <w:r>
        <w:t>Cumulative gain equals the number of selected records multiplied by selected-group uplift.</w:t>
      </w:r>
    </w:p>
    <w:p w14:paraId="7D535DC0" w14:textId="77777777" w:rsidR="009B5AA7" w:rsidRDefault="00000000">
      <w:pPr>
        <w:pStyle w:val="a0"/>
        <w:rPr>
          <w:rFonts w:hint="eastAsia"/>
        </w:rPr>
      </w:pPr>
      <w:r>
        <w:t>AUUC is the area under the cumulative-gain curve.</w:t>
      </w:r>
    </w:p>
    <w:p w14:paraId="02407CC0" w14:textId="77777777" w:rsidR="009B5AA7" w:rsidRDefault="00000000">
      <w:pPr>
        <w:pStyle w:val="a0"/>
        <w:rPr>
          <w:rFonts w:hint="eastAsia"/>
        </w:rPr>
      </w:pPr>
      <w:r>
        <w:t>Qini is AUUC minus one half of the common 100% gain endpoint, so it measures gain above random targeting.</w:t>
      </w:r>
    </w:p>
    <w:p w14:paraId="7EFE77BC" w14:textId="77777777" w:rsidR="009B5AA7" w:rsidRDefault="00000000">
      <w:pPr>
        <w:pStyle w:val="a0"/>
        <w:rPr>
          <w:rFonts w:hint="eastAsia"/>
        </w:rPr>
      </w:pPr>
      <w:r>
        <w:t>Uplift captured divides cumulative gain by the common 100% endpoint.</w:t>
      </w:r>
    </w:p>
    <w:p w14:paraId="03446B07" w14:textId="77777777" w:rsidR="009B5AA7" w:rsidRDefault="00000000">
      <w:pPr>
        <w:pStyle w:val="a0"/>
        <w:rPr>
          <w:rFonts w:hint="eastAsia"/>
        </w:rPr>
      </w:pPr>
      <w:r>
        <w:t>Paired bootstrap intervals resample joint fixed-ranking cells so strategy differences remain paired on the same test population.</w:t>
      </w:r>
    </w:p>
    <w:p w14:paraId="72CA9C05" w14:textId="77777777" w:rsidR="009B5AA7" w:rsidRDefault="00000000">
      <w:pPr>
        <w:rPr>
          <w:rFonts w:hint="eastAsia"/>
        </w:rPr>
      </w:pPr>
      <w:r>
        <w:t>Every valid ranking must end at Ntest × ATEtest when 100% of the test population is selected. This identity is an important audit check for treatment direction, denominator consistency, and common model populations. The paired bootstrap conditions on the fitted models and fixed ranking bins; it does not include training, model-selection, threshold-selection, or hidden cluster uncertainty.</w:t>
      </w:r>
    </w:p>
    <w:p w14:paraId="61D059A9" w14:textId="77777777" w:rsidR="009B5AA7" w:rsidRDefault="00000000">
      <w:pPr>
        <w:rPr>
          <w:rFonts w:hint="eastAsia"/>
        </w:rPr>
      </w:pPr>
      <w:r>
        <w:br w:type="page"/>
      </w:r>
    </w:p>
    <w:p w14:paraId="110CA41B" w14:textId="77777777" w:rsidR="009B5AA7" w:rsidRDefault="00000000">
      <w:pPr>
        <w:pStyle w:val="1"/>
      </w:pPr>
      <w:r>
        <w:lastRenderedPageBreak/>
        <w:t>Model Comparison</w:t>
      </w:r>
    </w:p>
    <w:p w14:paraId="2D004F04" w14:textId="77777777" w:rsidR="009B5AA7" w:rsidRDefault="00000000">
      <w:pPr>
        <w:pStyle w:val="21"/>
      </w:pPr>
      <w:r>
        <w:t>Visit ranking</w:t>
      </w:r>
    </w:p>
    <w:p w14:paraId="7FE4108F" w14:textId="55079D72" w:rsidR="009B5AA7" w:rsidRDefault="00000000">
      <w:pPr>
        <w:rPr>
          <w:rFonts w:hint="eastAsia"/>
        </w:rPr>
      </w:pPr>
      <w:r>
        <w:t>The pooled X-style learner has the highest point Qini, but its paired advantage over the simpler S-Learner is unresolved. Under the prespecified simplicity rule, the S-Learner is preferred. Its Qini is 10,550</w:t>
      </w:r>
      <w:r w:rsidR="003A53A0">
        <w:t>, exceeding</w:t>
      </w:r>
      <w:r>
        <w:t xml:space="preserve"> response propensity by 645; the 2,000-draw paired 95% interval for the difference is 413 to 883.</w:t>
      </w:r>
    </w:p>
    <w:p w14:paraId="6B5C426C" w14:textId="77777777" w:rsidR="009B5AA7" w:rsidRDefault="00000000">
      <w:pPr>
        <w:pStyle w:val="af7"/>
        <w:keepNext/>
        <w:jc w:val="center"/>
        <w:rPr>
          <w:rFonts w:hint="eastAsia"/>
        </w:rPr>
      </w:pPr>
      <w:r>
        <w:t>Figure 3  Visit Qini curves relative to random targeting</w:t>
      </w:r>
    </w:p>
    <w:p w14:paraId="4D6D0878" w14:textId="77777777" w:rsidR="009B5AA7" w:rsidRDefault="00000000">
      <w:pPr>
        <w:keepLines/>
        <w:spacing w:after="200"/>
        <w:jc w:val="center"/>
        <w:rPr>
          <w:rFonts w:hint="eastAsia"/>
        </w:rPr>
      </w:pPr>
      <w:r>
        <w:rPr>
          <w:noProof/>
        </w:rPr>
        <w:drawing>
          <wp:inline distT="0" distB="0" distL="0" distR="0" wp14:anchorId="681A1E30" wp14:editId="4D050DC0">
            <wp:extent cx="5212080" cy="3257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it_qini_curve.png"/>
                    <pic:cNvPicPr/>
                  </pic:nvPicPr>
                  <pic:blipFill>
                    <a:blip r:embed="rId10"/>
                    <a:stretch>
                      <a:fillRect/>
                    </a:stretch>
                  </pic:blipFill>
                  <pic:spPr>
                    <a:xfrm>
                      <a:off x="0" y="0"/>
                      <a:ext cx="5212080" cy="3257550"/>
                    </a:xfrm>
                    <a:prstGeom prst="rect">
                      <a:avLst/>
                    </a:prstGeom>
                  </pic:spPr>
                </pic:pic>
              </a:graphicData>
            </a:graphic>
          </wp:inline>
        </w:drawing>
      </w:r>
    </w:p>
    <w:p w14:paraId="6AEAB856" w14:textId="77777777" w:rsidR="009B5AA7" w:rsidRDefault="00000000">
      <w:pPr>
        <w:pStyle w:val="21"/>
      </w:pPr>
      <w:r>
        <w:t>Conversion ranking</w:t>
      </w:r>
    </w:p>
    <w:p w14:paraId="49AEA5CA" w14:textId="77777777" w:rsidR="009B5AA7" w:rsidRDefault="00000000">
      <w:pPr>
        <w:rPr>
          <w:rFonts w:hint="eastAsia"/>
        </w:rPr>
      </w:pPr>
      <w:r>
        <w:t>The S-Learner leads the uplift learners for Conversion but does not beat response propensity. Its Qini disadvantage is 9.99, with a 2,000-draw paired 95% interval of −18.78 to −0.99. Response propensity is therefore the supported Conversion ranking under this exploratory analysis.</w:t>
      </w:r>
    </w:p>
    <w:p w14:paraId="4C1B1B76" w14:textId="77777777" w:rsidR="009B5AA7" w:rsidRDefault="00000000">
      <w:pPr>
        <w:pStyle w:val="af7"/>
        <w:keepNext/>
        <w:jc w:val="center"/>
        <w:rPr>
          <w:rFonts w:hint="eastAsia"/>
        </w:rPr>
      </w:pPr>
      <w:r>
        <w:lastRenderedPageBreak/>
        <w:t>Figure 4  Conversion Qini curves relative to random targeting</w:t>
      </w:r>
    </w:p>
    <w:p w14:paraId="46F958FB" w14:textId="77777777" w:rsidR="009B5AA7" w:rsidRDefault="00000000">
      <w:pPr>
        <w:keepLines/>
        <w:spacing w:after="200"/>
        <w:jc w:val="center"/>
        <w:rPr>
          <w:rFonts w:hint="eastAsia"/>
        </w:rPr>
      </w:pPr>
      <w:r>
        <w:rPr>
          <w:noProof/>
        </w:rPr>
        <w:drawing>
          <wp:inline distT="0" distB="0" distL="0" distR="0" wp14:anchorId="55ED5152" wp14:editId="0C559713">
            <wp:extent cx="5212080" cy="3257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ersion_qini_curve.png"/>
                    <pic:cNvPicPr/>
                  </pic:nvPicPr>
                  <pic:blipFill>
                    <a:blip r:embed="rId11"/>
                    <a:stretch>
                      <a:fillRect/>
                    </a:stretch>
                  </pic:blipFill>
                  <pic:spPr>
                    <a:xfrm>
                      <a:off x="0" y="0"/>
                      <a:ext cx="5212080" cy="3257550"/>
                    </a:xfrm>
                    <a:prstGeom prst="rect">
                      <a:avLst/>
                    </a:prstGeom>
                  </pic:spPr>
                </pic:pic>
              </a:graphicData>
            </a:graphic>
          </wp:inline>
        </w:drawing>
      </w:r>
    </w:p>
    <w:p w14:paraId="66D76A3A" w14:textId="77777777" w:rsidR="009B5AA7" w:rsidRDefault="00000000">
      <w:pPr>
        <w:pStyle w:val="1"/>
      </w:pPr>
      <w:r>
        <w:t>Targeting Decisions</w:t>
      </w:r>
    </w:p>
    <w:p w14:paraId="71131320" w14:textId="77777777" w:rsidR="009B5AA7" w:rsidRDefault="00000000">
      <w:pPr>
        <w:rPr>
          <w:rFonts w:hint="eastAsia"/>
        </w:rPr>
      </w:pPr>
      <w:r>
        <w:t>The following tables place every reported targeting fraction on one decision scale. Higher coverage usually increases total incremental outcomes while reducing incremental yield per selected record. Because cost and revenue are unavailable, these tables support capacity scenarios rather than an economically optimal budget.</w:t>
      </w:r>
    </w:p>
    <w:p w14:paraId="03D1AD96" w14:textId="77777777" w:rsidR="009B5AA7" w:rsidRDefault="00000000">
      <w:pPr>
        <w:pStyle w:val="21"/>
      </w:pPr>
      <w:r>
        <w:t>Visit policy using the S Learner</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2"/>
        <w:gridCol w:w="1512"/>
        <w:gridCol w:w="1440"/>
        <w:gridCol w:w="1656"/>
        <w:gridCol w:w="1440"/>
        <w:gridCol w:w="1656"/>
      </w:tblGrid>
      <w:tr w:rsidR="009B5AA7" w14:paraId="33219C35" w14:textId="77777777">
        <w:trPr>
          <w:tblHeader/>
        </w:trPr>
        <w:tc>
          <w:tcPr>
            <w:tcW w:w="792" w:type="dxa"/>
            <w:shd w:val="clear" w:color="auto" w:fill="17365D"/>
            <w:tcMar>
              <w:top w:w="110" w:type="dxa"/>
              <w:left w:w="100" w:type="dxa"/>
              <w:bottom w:w="110" w:type="dxa"/>
              <w:right w:w="100" w:type="dxa"/>
            </w:tcMar>
            <w:vAlign w:val="center"/>
          </w:tcPr>
          <w:p w14:paraId="1DFD09D1" w14:textId="77777777" w:rsidR="009B5AA7" w:rsidRDefault="00000000">
            <w:pPr>
              <w:spacing w:after="0"/>
              <w:jc w:val="center"/>
              <w:rPr>
                <w:rFonts w:hint="eastAsia"/>
              </w:rPr>
            </w:pPr>
            <w:r>
              <w:rPr>
                <w:b/>
                <w:color w:val="FFFFFF"/>
                <w:sz w:val="16"/>
              </w:rPr>
              <w:t>Target</w:t>
            </w:r>
          </w:p>
        </w:tc>
        <w:tc>
          <w:tcPr>
            <w:tcW w:w="1512" w:type="dxa"/>
            <w:shd w:val="clear" w:color="auto" w:fill="17365D"/>
            <w:tcMar>
              <w:top w:w="110" w:type="dxa"/>
              <w:left w:w="100" w:type="dxa"/>
              <w:bottom w:w="110" w:type="dxa"/>
              <w:right w:w="100" w:type="dxa"/>
            </w:tcMar>
            <w:vAlign w:val="center"/>
          </w:tcPr>
          <w:p w14:paraId="0F6E64DB" w14:textId="77777777" w:rsidR="009B5AA7" w:rsidRDefault="00000000">
            <w:pPr>
              <w:spacing w:after="0"/>
              <w:jc w:val="center"/>
              <w:rPr>
                <w:rFonts w:hint="eastAsia"/>
              </w:rPr>
            </w:pPr>
            <w:r>
              <w:rPr>
                <w:b/>
                <w:color w:val="FFFFFF"/>
                <w:sz w:val="16"/>
              </w:rPr>
              <w:t>Selected records</w:t>
            </w:r>
          </w:p>
        </w:tc>
        <w:tc>
          <w:tcPr>
            <w:tcW w:w="1440" w:type="dxa"/>
            <w:shd w:val="clear" w:color="auto" w:fill="17365D"/>
            <w:tcMar>
              <w:top w:w="110" w:type="dxa"/>
              <w:left w:w="100" w:type="dxa"/>
              <w:bottom w:w="110" w:type="dxa"/>
              <w:right w:w="100" w:type="dxa"/>
            </w:tcMar>
            <w:vAlign w:val="center"/>
          </w:tcPr>
          <w:p w14:paraId="191FD571" w14:textId="77777777" w:rsidR="009B5AA7" w:rsidRDefault="00000000">
            <w:pPr>
              <w:spacing w:after="0"/>
              <w:jc w:val="center"/>
              <w:rPr>
                <w:rFonts w:hint="eastAsia"/>
              </w:rPr>
            </w:pPr>
            <w:r>
              <w:rPr>
                <w:b/>
                <w:color w:val="FFFFFF"/>
                <w:sz w:val="16"/>
              </w:rPr>
              <w:t>Selected uplift</w:t>
            </w:r>
          </w:p>
        </w:tc>
        <w:tc>
          <w:tcPr>
            <w:tcW w:w="1656" w:type="dxa"/>
            <w:shd w:val="clear" w:color="auto" w:fill="17365D"/>
            <w:tcMar>
              <w:top w:w="110" w:type="dxa"/>
              <w:left w:w="100" w:type="dxa"/>
              <w:bottom w:w="110" w:type="dxa"/>
              <w:right w:w="100" w:type="dxa"/>
            </w:tcMar>
            <w:vAlign w:val="center"/>
          </w:tcPr>
          <w:p w14:paraId="754C0625" w14:textId="77777777" w:rsidR="009B5AA7" w:rsidRDefault="00000000">
            <w:pPr>
              <w:spacing w:after="0"/>
              <w:jc w:val="center"/>
              <w:rPr>
                <w:rFonts w:hint="eastAsia"/>
              </w:rPr>
            </w:pPr>
            <w:r>
              <w:rPr>
                <w:b/>
                <w:color w:val="FFFFFF"/>
                <w:sz w:val="16"/>
              </w:rPr>
              <w:t>Incremental visits</w:t>
            </w:r>
          </w:p>
        </w:tc>
        <w:tc>
          <w:tcPr>
            <w:tcW w:w="1440" w:type="dxa"/>
            <w:shd w:val="clear" w:color="auto" w:fill="17365D"/>
            <w:tcMar>
              <w:top w:w="110" w:type="dxa"/>
              <w:left w:w="100" w:type="dxa"/>
              <w:bottom w:w="110" w:type="dxa"/>
              <w:right w:w="100" w:type="dxa"/>
            </w:tcMar>
            <w:vAlign w:val="center"/>
          </w:tcPr>
          <w:p w14:paraId="0094BF31" w14:textId="77777777" w:rsidR="009B5AA7" w:rsidRDefault="00000000">
            <w:pPr>
              <w:spacing w:after="0"/>
              <w:jc w:val="center"/>
              <w:rPr>
                <w:rFonts w:hint="eastAsia"/>
              </w:rPr>
            </w:pPr>
            <w:r>
              <w:rPr>
                <w:b/>
                <w:color w:val="FFFFFF"/>
                <w:sz w:val="16"/>
              </w:rPr>
              <w:t>Uplift captured</w:t>
            </w:r>
          </w:p>
        </w:tc>
        <w:tc>
          <w:tcPr>
            <w:tcW w:w="1656" w:type="dxa"/>
            <w:shd w:val="clear" w:color="auto" w:fill="17365D"/>
            <w:tcMar>
              <w:top w:w="110" w:type="dxa"/>
              <w:left w:w="100" w:type="dxa"/>
              <w:bottom w:w="110" w:type="dxa"/>
              <w:right w:w="100" w:type="dxa"/>
            </w:tcMar>
            <w:vAlign w:val="center"/>
          </w:tcPr>
          <w:p w14:paraId="6577771E" w14:textId="77777777" w:rsidR="009B5AA7" w:rsidRDefault="00000000">
            <w:pPr>
              <w:spacing w:after="0"/>
              <w:jc w:val="center"/>
              <w:rPr>
                <w:rFonts w:hint="eastAsia"/>
              </w:rPr>
            </w:pPr>
            <w:r>
              <w:rPr>
                <w:b/>
                <w:color w:val="FFFFFF"/>
                <w:sz w:val="16"/>
              </w:rPr>
              <w:t>Gain above random</w:t>
            </w:r>
          </w:p>
        </w:tc>
      </w:tr>
      <w:tr w:rsidR="009B5AA7" w14:paraId="3D1ACADA" w14:textId="77777777">
        <w:trPr>
          <w:cantSplit/>
        </w:trPr>
        <w:tc>
          <w:tcPr>
            <w:tcW w:w="792" w:type="dxa"/>
            <w:tcMar>
              <w:top w:w="90" w:type="dxa"/>
              <w:left w:w="100" w:type="dxa"/>
              <w:bottom w:w="90" w:type="dxa"/>
              <w:right w:w="100" w:type="dxa"/>
            </w:tcMar>
            <w:vAlign w:val="center"/>
          </w:tcPr>
          <w:p w14:paraId="2B72682F" w14:textId="77777777" w:rsidR="009B5AA7" w:rsidRDefault="00000000">
            <w:pPr>
              <w:spacing w:after="0" w:line="240" w:lineRule="auto"/>
              <w:jc w:val="center"/>
              <w:rPr>
                <w:rFonts w:hint="eastAsia"/>
              </w:rPr>
            </w:pPr>
            <w:r>
              <w:rPr>
                <w:sz w:val="16"/>
              </w:rPr>
              <w:t>5%</w:t>
            </w:r>
          </w:p>
        </w:tc>
        <w:tc>
          <w:tcPr>
            <w:tcW w:w="1512" w:type="dxa"/>
            <w:tcMar>
              <w:top w:w="90" w:type="dxa"/>
              <w:left w:w="100" w:type="dxa"/>
              <w:bottom w:w="90" w:type="dxa"/>
              <w:right w:w="100" w:type="dxa"/>
            </w:tcMar>
            <w:vAlign w:val="center"/>
          </w:tcPr>
          <w:p w14:paraId="5F139F20" w14:textId="77777777" w:rsidR="009B5AA7" w:rsidRDefault="00000000">
            <w:pPr>
              <w:spacing w:after="0" w:line="240" w:lineRule="auto"/>
              <w:jc w:val="center"/>
              <w:rPr>
                <w:rFonts w:hint="eastAsia"/>
              </w:rPr>
            </w:pPr>
            <w:r>
              <w:rPr>
                <w:sz w:val="16"/>
              </w:rPr>
              <w:t>139,788</w:t>
            </w:r>
          </w:p>
        </w:tc>
        <w:tc>
          <w:tcPr>
            <w:tcW w:w="1440" w:type="dxa"/>
            <w:tcMar>
              <w:top w:w="90" w:type="dxa"/>
              <w:left w:w="100" w:type="dxa"/>
              <w:bottom w:w="90" w:type="dxa"/>
              <w:right w:w="100" w:type="dxa"/>
            </w:tcMar>
            <w:vAlign w:val="center"/>
          </w:tcPr>
          <w:p w14:paraId="0ECC767B" w14:textId="77777777" w:rsidR="009B5AA7" w:rsidRDefault="00000000">
            <w:pPr>
              <w:spacing w:after="0" w:line="240" w:lineRule="auto"/>
              <w:jc w:val="center"/>
              <w:rPr>
                <w:rFonts w:hint="eastAsia"/>
              </w:rPr>
            </w:pPr>
            <w:r>
              <w:rPr>
                <w:sz w:val="16"/>
              </w:rPr>
              <w:t>9.535 pp</w:t>
            </w:r>
          </w:p>
        </w:tc>
        <w:tc>
          <w:tcPr>
            <w:tcW w:w="1656" w:type="dxa"/>
            <w:tcMar>
              <w:top w:w="90" w:type="dxa"/>
              <w:left w:w="100" w:type="dxa"/>
              <w:bottom w:w="90" w:type="dxa"/>
              <w:right w:w="100" w:type="dxa"/>
            </w:tcMar>
            <w:vAlign w:val="center"/>
          </w:tcPr>
          <w:p w14:paraId="54E9F6B8" w14:textId="77777777" w:rsidR="009B5AA7" w:rsidRDefault="00000000">
            <w:pPr>
              <w:spacing w:after="0" w:line="240" w:lineRule="auto"/>
              <w:jc w:val="center"/>
              <w:rPr>
                <w:rFonts w:hint="eastAsia"/>
              </w:rPr>
            </w:pPr>
            <w:r>
              <w:rPr>
                <w:sz w:val="16"/>
              </w:rPr>
              <w:t>13,329</w:t>
            </w:r>
          </w:p>
        </w:tc>
        <w:tc>
          <w:tcPr>
            <w:tcW w:w="1440" w:type="dxa"/>
            <w:tcMar>
              <w:top w:w="90" w:type="dxa"/>
              <w:left w:w="100" w:type="dxa"/>
              <w:bottom w:w="90" w:type="dxa"/>
              <w:right w:w="100" w:type="dxa"/>
            </w:tcMar>
            <w:vAlign w:val="center"/>
          </w:tcPr>
          <w:p w14:paraId="2EAAC6DD" w14:textId="77777777" w:rsidR="009B5AA7" w:rsidRDefault="00000000">
            <w:pPr>
              <w:spacing w:after="0" w:line="240" w:lineRule="auto"/>
              <w:jc w:val="center"/>
              <w:rPr>
                <w:rFonts w:hint="eastAsia"/>
              </w:rPr>
            </w:pPr>
            <w:r>
              <w:rPr>
                <w:sz w:val="16"/>
              </w:rPr>
              <w:t>46.1%</w:t>
            </w:r>
          </w:p>
        </w:tc>
        <w:tc>
          <w:tcPr>
            <w:tcW w:w="1656" w:type="dxa"/>
            <w:tcMar>
              <w:top w:w="90" w:type="dxa"/>
              <w:left w:w="100" w:type="dxa"/>
              <w:bottom w:w="90" w:type="dxa"/>
              <w:right w:w="100" w:type="dxa"/>
            </w:tcMar>
            <w:vAlign w:val="center"/>
          </w:tcPr>
          <w:p w14:paraId="689BD3D7" w14:textId="77777777" w:rsidR="009B5AA7" w:rsidRDefault="00000000">
            <w:pPr>
              <w:spacing w:after="0" w:line="240" w:lineRule="auto"/>
              <w:jc w:val="center"/>
              <w:rPr>
                <w:rFonts w:hint="eastAsia"/>
              </w:rPr>
            </w:pPr>
            <w:r>
              <w:rPr>
                <w:sz w:val="16"/>
              </w:rPr>
              <w:t>11,884</w:t>
            </w:r>
          </w:p>
        </w:tc>
      </w:tr>
      <w:tr w:rsidR="009B5AA7" w14:paraId="6AD677E0" w14:textId="77777777">
        <w:trPr>
          <w:cantSplit/>
        </w:trPr>
        <w:tc>
          <w:tcPr>
            <w:tcW w:w="792" w:type="dxa"/>
            <w:shd w:val="clear" w:color="auto" w:fill="F5F7FA"/>
            <w:tcMar>
              <w:top w:w="90" w:type="dxa"/>
              <w:left w:w="100" w:type="dxa"/>
              <w:bottom w:w="90" w:type="dxa"/>
              <w:right w:w="100" w:type="dxa"/>
            </w:tcMar>
            <w:vAlign w:val="center"/>
          </w:tcPr>
          <w:p w14:paraId="47E4EEAD" w14:textId="77777777" w:rsidR="009B5AA7" w:rsidRDefault="00000000">
            <w:pPr>
              <w:spacing w:after="0" w:line="240" w:lineRule="auto"/>
              <w:jc w:val="center"/>
              <w:rPr>
                <w:rFonts w:hint="eastAsia"/>
              </w:rPr>
            </w:pPr>
            <w:r>
              <w:rPr>
                <w:sz w:val="16"/>
              </w:rPr>
              <w:t>10%</w:t>
            </w:r>
          </w:p>
        </w:tc>
        <w:tc>
          <w:tcPr>
            <w:tcW w:w="1512" w:type="dxa"/>
            <w:shd w:val="clear" w:color="auto" w:fill="F5F7FA"/>
            <w:tcMar>
              <w:top w:w="90" w:type="dxa"/>
              <w:left w:w="100" w:type="dxa"/>
              <w:bottom w:w="90" w:type="dxa"/>
              <w:right w:w="100" w:type="dxa"/>
            </w:tcMar>
            <w:vAlign w:val="center"/>
          </w:tcPr>
          <w:p w14:paraId="34A548C0" w14:textId="77777777" w:rsidR="009B5AA7" w:rsidRDefault="00000000">
            <w:pPr>
              <w:spacing w:after="0" w:line="240" w:lineRule="auto"/>
              <w:jc w:val="center"/>
              <w:rPr>
                <w:rFonts w:hint="eastAsia"/>
              </w:rPr>
            </w:pPr>
            <w:r>
              <w:rPr>
                <w:sz w:val="16"/>
              </w:rPr>
              <w:t>279,575</w:t>
            </w:r>
          </w:p>
        </w:tc>
        <w:tc>
          <w:tcPr>
            <w:tcW w:w="1440" w:type="dxa"/>
            <w:shd w:val="clear" w:color="auto" w:fill="F5F7FA"/>
            <w:tcMar>
              <w:top w:w="90" w:type="dxa"/>
              <w:left w:w="100" w:type="dxa"/>
              <w:bottom w:w="90" w:type="dxa"/>
              <w:right w:w="100" w:type="dxa"/>
            </w:tcMar>
            <w:vAlign w:val="center"/>
          </w:tcPr>
          <w:p w14:paraId="43E4C8CA" w14:textId="77777777" w:rsidR="009B5AA7" w:rsidRDefault="00000000">
            <w:pPr>
              <w:spacing w:after="0" w:line="240" w:lineRule="auto"/>
              <w:jc w:val="center"/>
              <w:rPr>
                <w:rFonts w:hint="eastAsia"/>
              </w:rPr>
            </w:pPr>
            <w:r>
              <w:rPr>
                <w:sz w:val="16"/>
              </w:rPr>
              <w:t>6.409 pp</w:t>
            </w:r>
          </w:p>
        </w:tc>
        <w:tc>
          <w:tcPr>
            <w:tcW w:w="1656" w:type="dxa"/>
            <w:shd w:val="clear" w:color="auto" w:fill="F5F7FA"/>
            <w:tcMar>
              <w:top w:w="90" w:type="dxa"/>
              <w:left w:w="100" w:type="dxa"/>
              <w:bottom w:w="90" w:type="dxa"/>
              <w:right w:w="100" w:type="dxa"/>
            </w:tcMar>
            <w:vAlign w:val="center"/>
          </w:tcPr>
          <w:p w14:paraId="3AF7BB75" w14:textId="77777777" w:rsidR="009B5AA7" w:rsidRDefault="00000000">
            <w:pPr>
              <w:spacing w:after="0" w:line="240" w:lineRule="auto"/>
              <w:jc w:val="center"/>
              <w:rPr>
                <w:rFonts w:hint="eastAsia"/>
              </w:rPr>
            </w:pPr>
            <w:r>
              <w:rPr>
                <w:sz w:val="16"/>
              </w:rPr>
              <w:t>17,919</w:t>
            </w:r>
          </w:p>
        </w:tc>
        <w:tc>
          <w:tcPr>
            <w:tcW w:w="1440" w:type="dxa"/>
            <w:shd w:val="clear" w:color="auto" w:fill="F5F7FA"/>
            <w:tcMar>
              <w:top w:w="90" w:type="dxa"/>
              <w:left w:w="100" w:type="dxa"/>
              <w:bottom w:w="90" w:type="dxa"/>
              <w:right w:w="100" w:type="dxa"/>
            </w:tcMar>
            <w:vAlign w:val="center"/>
          </w:tcPr>
          <w:p w14:paraId="4CDF5BAF" w14:textId="77777777" w:rsidR="009B5AA7" w:rsidRDefault="00000000">
            <w:pPr>
              <w:spacing w:after="0" w:line="240" w:lineRule="auto"/>
              <w:jc w:val="center"/>
              <w:rPr>
                <w:rFonts w:hint="eastAsia"/>
              </w:rPr>
            </w:pPr>
            <w:r>
              <w:rPr>
                <w:sz w:val="16"/>
              </w:rPr>
              <w:t>62.0%</w:t>
            </w:r>
          </w:p>
        </w:tc>
        <w:tc>
          <w:tcPr>
            <w:tcW w:w="1656" w:type="dxa"/>
            <w:shd w:val="clear" w:color="auto" w:fill="F5F7FA"/>
            <w:tcMar>
              <w:top w:w="90" w:type="dxa"/>
              <w:left w:w="100" w:type="dxa"/>
              <w:bottom w:w="90" w:type="dxa"/>
              <w:right w:w="100" w:type="dxa"/>
            </w:tcMar>
            <w:vAlign w:val="center"/>
          </w:tcPr>
          <w:p w14:paraId="2FCD1CCC" w14:textId="77777777" w:rsidR="009B5AA7" w:rsidRDefault="00000000">
            <w:pPr>
              <w:spacing w:after="0" w:line="240" w:lineRule="auto"/>
              <w:jc w:val="center"/>
              <w:rPr>
                <w:rFonts w:hint="eastAsia"/>
              </w:rPr>
            </w:pPr>
            <w:r>
              <w:rPr>
                <w:sz w:val="16"/>
              </w:rPr>
              <w:t>15,030</w:t>
            </w:r>
          </w:p>
        </w:tc>
      </w:tr>
      <w:tr w:rsidR="009B5AA7" w14:paraId="3CB98640" w14:textId="77777777">
        <w:trPr>
          <w:cantSplit/>
        </w:trPr>
        <w:tc>
          <w:tcPr>
            <w:tcW w:w="792" w:type="dxa"/>
            <w:tcMar>
              <w:top w:w="90" w:type="dxa"/>
              <w:left w:w="100" w:type="dxa"/>
              <w:bottom w:w="90" w:type="dxa"/>
              <w:right w:w="100" w:type="dxa"/>
            </w:tcMar>
            <w:vAlign w:val="center"/>
          </w:tcPr>
          <w:p w14:paraId="40C1CE4D" w14:textId="77777777" w:rsidR="009B5AA7" w:rsidRDefault="00000000">
            <w:pPr>
              <w:spacing w:after="0" w:line="240" w:lineRule="auto"/>
              <w:jc w:val="center"/>
              <w:rPr>
                <w:rFonts w:hint="eastAsia"/>
              </w:rPr>
            </w:pPr>
            <w:r>
              <w:rPr>
                <w:sz w:val="16"/>
              </w:rPr>
              <w:t>20%</w:t>
            </w:r>
          </w:p>
        </w:tc>
        <w:tc>
          <w:tcPr>
            <w:tcW w:w="1512" w:type="dxa"/>
            <w:tcMar>
              <w:top w:w="90" w:type="dxa"/>
              <w:left w:w="100" w:type="dxa"/>
              <w:bottom w:w="90" w:type="dxa"/>
              <w:right w:w="100" w:type="dxa"/>
            </w:tcMar>
            <w:vAlign w:val="center"/>
          </w:tcPr>
          <w:p w14:paraId="66143876" w14:textId="77777777" w:rsidR="009B5AA7" w:rsidRDefault="00000000">
            <w:pPr>
              <w:spacing w:after="0" w:line="240" w:lineRule="auto"/>
              <w:jc w:val="center"/>
              <w:rPr>
                <w:rFonts w:hint="eastAsia"/>
              </w:rPr>
            </w:pPr>
            <w:r>
              <w:rPr>
                <w:sz w:val="16"/>
              </w:rPr>
              <w:t>559,150</w:t>
            </w:r>
          </w:p>
        </w:tc>
        <w:tc>
          <w:tcPr>
            <w:tcW w:w="1440" w:type="dxa"/>
            <w:tcMar>
              <w:top w:w="90" w:type="dxa"/>
              <w:left w:w="100" w:type="dxa"/>
              <w:bottom w:w="90" w:type="dxa"/>
              <w:right w:w="100" w:type="dxa"/>
            </w:tcMar>
            <w:vAlign w:val="center"/>
          </w:tcPr>
          <w:p w14:paraId="30C6F490" w14:textId="77777777" w:rsidR="009B5AA7" w:rsidRDefault="00000000">
            <w:pPr>
              <w:spacing w:after="0" w:line="240" w:lineRule="auto"/>
              <w:jc w:val="center"/>
              <w:rPr>
                <w:rFonts w:hint="eastAsia"/>
              </w:rPr>
            </w:pPr>
            <w:r>
              <w:rPr>
                <w:sz w:val="16"/>
              </w:rPr>
              <w:t>3.972 pp</w:t>
            </w:r>
          </w:p>
        </w:tc>
        <w:tc>
          <w:tcPr>
            <w:tcW w:w="1656" w:type="dxa"/>
            <w:tcMar>
              <w:top w:w="90" w:type="dxa"/>
              <w:left w:w="100" w:type="dxa"/>
              <w:bottom w:w="90" w:type="dxa"/>
              <w:right w:w="100" w:type="dxa"/>
            </w:tcMar>
            <w:vAlign w:val="center"/>
          </w:tcPr>
          <w:p w14:paraId="5BA10F27" w14:textId="77777777" w:rsidR="009B5AA7" w:rsidRDefault="00000000">
            <w:pPr>
              <w:spacing w:after="0" w:line="240" w:lineRule="auto"/>
              <w:jc w:val="center"/>
              <w:rPr>
                <w:rFonts w:hint="eastAsia"/>
              </w:rPr>
            </w:pPr>
            <w:r>
              <w:rPr>
                <w:sz w:val="16"/>
              </w:rPr>
              <w:t>22,208</w:t>
            </w:r>
          </w:p>
        </w:tc>
        <w:tc>
          <w:tcPr>
            <w:tcW w:w="1440" w:type="dxa"/>
            <w:tcMar>
              <w:top w:w="90" w:type="dxa"/>
              <w:left w:w="100" w:type="dxa"/>
              <w:bottom w:w="90" w:type="dxa"/>
              <w:right w:w="100" w:type="dxa"/>
            </w:tcMar>
            <w:vAlign w:val="center"/>
          </w:tcPr>
          <w:p w14:paraId="4CCF3903" w14:textId="77777777" w:rsidR="009B5AA7" w:rsidRDefault="00000000">
            <w:pPr>
              <w:spacing w:after="0" w:line="240" w:lineRule="auto"/>
              <w:jc w:val="center"/>
              <w:rPr>
                <w:rFonts w:hint="eastAsia"/>
              </w:rPr>
            </w:pPr>
            <w:r>
              <w:rPr>
                <w:sz w:val="16"/>
              </w:rPr>
              <w:t>76.9%</w:t>
            </w:r>
          </w:p>
        </w:tc>
        <w:tc>
          <w:tcPr>
            <w:tcW w:w="1656" w:type="dxa"/>
            <w:tcMar>
              <w:top w:w="90" w:type="dxa"/>
              <w:left w:w="100" w:type="dxa"/>
              <w:bottom w:w="90" w:type="dxa"/>
              <w:right w:w="100" w:type="dxa"/>
            </w:tcMar>
            <w:vAlign w:val="center"/>
          </w:tcPr>
          <w:p w14:paraId="44CB0CDE" w14:textId="77777777" w:rsidR="009B5AA7" w:rsidRDefault="00000000">
            <w:pPr>
              <w:spacing w:after="0" w:line="240" w:lineRule="auto"/>
              <w:jc w:val="center"/>
              <w:rPr>
                <w:rFonts w:hint="eastAsia"/>
              </w:rPr>
            </w:pPr>
            <w:r>
              <w:rPr>
                <w:sz w:val="16"/>
              </w:rPr>
              <w:t>16,429</w:t>
            </w:r>
          </w:p>
        </w:tc>
      </w:tr>
      <w:tr w:rsidR="009B5AA7" w14:paraId="5E10D996" w14:textId="77777777">
        <w:trPr>
          <w:cantSplit/>
        </w:trPr>
        <w:tc>
          <w:tcPr>
            <w:tcW w:w="792" w:type="dxa"/>
            <w:shd w:val="clear" w:color="auto" w:fill="F5F7FA"/>
            <w:tcMar>
              <w:top w:w="90" w:type="dxa"/>
              <w:left w:w="100" w:type="dxa"/>
              <w:bottom w:w="90" w:type="dxa"/>
              <w:right w:w="100" w:type="dxa"/>
            </w:tcMar>
            <w:vAlign w:val="center"/>
          </w:tcPr>
          <w:p w14:paraId="34602AC7" w14:textId="77777777" w:rsidR="009B5AA7" w:rsidRDefault="00000000">
            <w:pPr>
              <w:spacing w:after="0" w:line="240" w:lineRule="auto"/>
              <w:jc w:val="center"/>
              <w:rPr>
                <w:rFonts w:hint="eastAsia"/>
              </w:rPr>
            </w:pPr>
            <w:r>
              <w:rPr>
                <w:sz w:val="16"/>
              </w:rPr>
              <w:t>30%</w:t>
            </w:r>
          </w:p>
        </w:tc>
        <w:tc>
          <w:tcPr>
            <w:tcW w:w="1512" w:type="dxa"/>
            <w:shd w:val="clear" w:color="auto" w:fill="F5F7FA"/>
            <w:tcMar>
              <w:top w:w="90" w:type="dxa"/>
              <w:left w:w="100" w:type="dxa"/>
              <w:bottom w:w="90" w:type="dxa"/>
              <w:right w:w="100" w:type="dxa"/>
            </w:tcMar>
            <w:vAlign w:val="center"/>
          </w:tcPr>
          <w:p w14:paraId="6855F2DA" w14:textId="77777777" w:rsidR="009B5AA7" w:rsidRDefault="00000000">
            <w:pPr>
              <w:spacing w:after="0" w:line="240" w:lineRule="auto"/>
              <w:jc w:val="center"/>
              <w:rPr>
                <w:rFonts w:hint="eastAsia"/>
              </w:rPr>
            </w:pPr>
            <w:r>
              <w:rPr>
                <w:sz w:val="16"/>
              </w:rPr>
              <w:t>838,725</w:t>
            </w:r>
          </w:p>
        </w:tc>
        <w:tc>
          <w:tcPr>
            <w:tcW w:w="1440" w:type="dxa"/>
            <w:shd w:val="clear" w:color="auto" w:fill="F5F7FA"/>
            <w:tcMar>
              <w:top w:w="90" w:type="dxa"/>
              <w:left w:w="100" w:type="dxa"/>
              <w:bottom w:w="90" w:type="dxa"/>
              <w:right w:w="100" w:type="dxa"/>
            </w:tcMar>
            <w:vAlign w:val="center"/>
          </w:tcPr>
          <w:p w14:paraId="445277E0" w14:textId="77777777" w:rsidR="009B5AA7" w:rsidRDefault="00000000">
            <w:pPr>
              <w:spacing w:after="0" w:line="240" w:lineRule="auto"/>
              <w:jc w:val="center"/>
              <w:rPr>
                <w:rFonts w:hint="eastAsia"/>
              </w:rPr>
            </w:pPr>
            <w:r>
              <w:rPr>
                <w:sz w:val="16"/>
              </w:rPr>
              <w:t>2.953 pp</w:t>
            </w:r>
          </w:p>
        </w:tc>
        <w:tc>
          <w:tcPr>
            <w:tcW w:w="1656" w:type="dxa"/>
            <w:shd w:val="clear" w:color="auto" w:fill="F5F7FA"/>
            <w:tcMar>
              <w:top w:w="90" w:type="dxa"/>
              <w:left w:w="100" w:type="dxa"/>
              <w:bottom w:w="90" w:type="dxa"/>
              <w:right w:w="100" w:type="dxa"/>
            </w:tcMar>
            <w:vAlign w:val="center"/>
          </w:tcPr>
          <w:p w14:paraId="2ACDAEAF" w14:textId="77777777" w:rsidR="009B5AA7" w:rsidRDefault="00000000">
            <w:pPr>
              <w:spacing w:after="0" w:line="240" w:lineRule="auto"/>
              <w:jc w:val="center"/>
              <w:rPr>
                <w:rFonts w:hint="eastAsia"/>
              </w:rPr>
            </w:pPr>
            <w:r>
              <w:rPr>
                <w:sz w:val="16"/>
              </w:rPr>
              <w:t>24,765</w:t>
            </w:r>
          </w:p>
        </w:tc>
        <w:tc>
          <w:tcPr>
            <w:tcW w:w="1440" w:type="dxa"/>
            <w:shd w:val="clear" w:color="auto" w:fill="F5F7FA"/>
            <w:tcMar>
              <w:top w:w="90" w:type="dxa"/>
              <w:left w:w="100" w:type="dxa"/>
              <w:bottom w:w="90" w:type="dxa"/>
              <w:right w:w="100" w:type="dxa"/>
            </w:tcMar>
            <w:vAlign w:val="center"/>
          </w:tcPr>
          <w:p w14:paraId="2FB32F0A" w14:textId="77777777" w:rsidR="009B5AA7" w:rsidRDefault="00000000">
            <w:pPr>
              <w:spacing w:after="0" w:line="240" w:lineRule="auto"/>
              <w:jc w:val="center"/>
              <w:rPr>
                <w:rFonts w:hint="eastAsia"/>
              </w:rPr>
            </w:pPr>
            <w:r>
              <w:rPr>
                <w:sz w:val="16"/>
              </w:rPr>
              <w:t>85.7%</w:t>
            </w:r>
          </w:p>
        </w:tc>
        <w:tc>
          <w:tcPr>
            <w:tcW w:w="1656" w:type="dxa"/>
            <w:shd w:val="clear" w:color="auto" w:fill="F5F7FA"/>
            <w:tcMar>
              <w:top w:w="90" w:type="dxa"/>
              <w:left w:w="100" w:type="dxa"/>
              <w:bottom w:w="90" w:type="dxa"/>
              <w:right w:w="100" w:type="dxa"/>
            </w:tcMar>
            <w:vAlign w:val="center"/>
          </w:tcPr>
          <w:p w14:paraId="082066B5" w14:textId="77777777" w:rsidR="009B5AA7" w:rsidRDefault="00000000">
            <w:pPr>
              <w:spacing w:after="0" w:line="240" w:lineRule="auto"/>
              <w:jc w:val="center"/>
              <w:rPr>
                <w:rFonts w:hint="eastAsia"/>
              </w:rPr>
            </w:pPr>
            <w:r>
              <w:rPr>
                <w:sz w:val="16"/>
              </w:rPr>
              <w:t>16,097</w:t>
            </w:r>
          </w:p>
        </w:tc>
      </w:tr>
      <w:tr w:rsidR="009B5AA7" w14:paraId="5D5B5FFA" w14:textId="77777777">
        <w:trPr>
          <w:cantSplit/>
        </w:trPr>
        <w:tc>
          <w:tcPr>
            <w:tcW w:w="792" w:type="dxa"/>
            <w:tcMar>
              <w:top w:w="90" w:type="dxa"/>
              <w:left w:w="100" w:type="dxa"/>
              <w:bottom w:w="90" w:type="dxa"/>
              <w:right w:w="100" w:type="dxa"/>
            </w:tcMar>
            <w:vAlign w:val="center"/>
          </w:tcPr>
          <w:p w14:paraId="4778334C" w14:textId="77777777" w:rsidR="009B5AA7" w:rsidRDefault="00000000">
            <w:pPr>
              <w:spacing w:after="0" w:line="240" w:lineRule="auto"/>
              <w:jc w:val="center"/>
              <w:rPr>
                <w:rFonts w:hint="eastAsia"/>
              </w:rPr>
            </w:pPr>
            <w:r>
              <w:rPr>
                <w:sz w:val="16"/>
              </w:rPr>
              <w:t>40%</w:t>
            </w:r>
          </w:p>
        </w:tc>
        <w:tc>
          <w:tcPr>
            <w:tcW w:w="1512" w:type="dxa"/>
            <w:tcMar>
              <w:top w:w="90" w:type="dxa"/>
              <w:left w:w="100" w:type="dxa"/>
              <w:bottom w:w="90" w:type="dxa"/>
              <w:right w:w="100" w:type="dxa"/>
            </w:tcMar>
            <w:vAlign w:val="center"/>
          </w:tcPr>
          <w:p w14:paraId="6954C259" w14:textId="77777777" w:rsidR="009B5AA7" w:rsidRDefault="00000000">
            <w:pPr>
              <w:spacing w:after="0" w:line="240" w:lineRule="auto"/>
              <w:jc w:val="center"/>
              <w:rPr>
                <w:rFonts w:hint="eastAsia"/>
              </w:rPr>
            </w:pPr>
            <w:r>
              <w:rPr>
                <w:sz w:val="16"/>
              </w:rPr>
              <w:t>1,118,300</w:t>
            </w:r>
          </w:p>
        </w:tc>
        <w:tc>
          <w:tcPr>
            <w:tcW w:w="1440" w:type="dxa"/>
            <w:tcMar>
              <w:top w:w="90" w:type="dxa"/>
              <w:left w:w="100" w:type="dxa"/>
              <w:bottom w:w="90" w:type="dxa"/>
              <w:right w:w="100" w:type="dxa"/>
            </w:tcMar>
            <w:vAlign w:val="center"/>
          </w:tcPr>
          <w:p w14:paraId="73B0C511" w14:textId="77777777" w:rsidR="009B5AA7" w:rsidRDefault="00000000">
            <w:pPr>
              <w:spacing w:after="0" w:line="240" w:lineRule="auto"/>
              <w:jc w:val="center"/>
              <w:rPr>
                <w:rFonts w:hint="eastAsia"/>
              </w:rPr>
            </w:pPr>
            <w:r>
              <w:rPr>
                <w:sz w:val="16"/>
              </w:rPr>
              <w:t>2.336 pp</w:t>
            </w:r>
          </w:p>
        </w:tc>
        <w:tc>
          <w:tcPr>
            <w:tcW w:w="1656" w:type="dxa"/>
            <w:tcMar>
              <w:top w:w="90" w:type="dxa"/>
              <w:left w:w="100" w:type="dxa"/>
              <w:bottom w:w="90" w:type="dxa"/>
              <w:right w:w="100" w:type="dxa"/>
            </w:tcMar>
            <w:vAlign w:val="center"/>
          </w:tcPr>
          <w:p w14:paraId="5F851D3A" w14:textId="77777777" w:rsidR="009B5AA7" w:rsidRDefault="00000000">
            <w:pPr>
              <w:spacing w:after="0" w:line="240" w:lineRule="auto"/>
              <w:jc w:val="center"/>
              <w:rPr>
                <w:rFonts w:hint="eastAsia"/>
              </w:rPr>
            </w:pPr>
            <w:r>
              <w:rPr>
                <w:sz w:val="16"/>
              </w:rPr>
              <w:t>26,123</w:t>
            </w:r>
          </w:p>
        </w:tc>
        <w:tc>
          <w:tcPr>
            <w:tcW w:w="1440" w:type="dxa"/>
            <w:tcMar>
              <w:top w:w="90" w:type="dxa"/>
              <w:left w:w="100" w:type="dxa"/>
              <w:bottom w:w="90" w:type="dxa"/>
              <w:right w:w="100" w:type="dxa"/>
            </w:tcMar>
            <w:vAlign w:val="center"/>
          </w:tcPr>
          <w:p w14:paraId="10BF243F" w14:textId="77777777" w:rsidR="009B5AA7" w:rsidRDefault="00000000">
            <w:pPr>
              <w:spacing w:after="0" w:line="240" w:lineRule="auto"/>
              <w:jc w:val="center"/>
              <w:rPr>
                <w:rFonts w:hint="eastAsia"/>
              </w:rPr>
            </w:pPr>
            <w:r>
              <w:rPr>
                <w:sz w:val="16"/>
              </w:rPr>
              <w:t>90.4%</w:t>
            </w:r>
          </w:p>
        </w:tc>
        <w:tc>
          <w:tcPr>
            <w:tcW w:w="1656" w:type="dxa"/>
            <w:tcMar>
              <w:top w:w="90" w:type="dxa"/>
              <w:left w:w="100" w:type="dxa"/>
              <w:bottom w:w="90" w:type="dxa"/>
              <w:right w:w="100" w:type="dxa"/>
            </w:tcMar>
            <w:vAlign w:val="center"/>
          </w:tcPr>
          <w:p w14:paraId="0FDE4720" w14:textId="77777777" w:rsidR="009B5AA7" w:rsidRDefault="00000000">
            <w:pPr>
              <w:spacing w:after="0" w:line="240" w:lineRule="auto"/>
              <w:jc w:val="center"/>
              <w:rPr>
                <w:rFonts w:hint="eastAsia"/>
              </w:rPr>
            </w:pPr>
            <w:r>
              <w:rPr>
                <w:sz w:val="16"/>
              </w:rPr>
              <w:t>14,565</w:t>
            </w:r>
          </w:p>
        </w:tc>
      </w:tr>
      <w:tr w:rsidR="009B5AA7" w14:paraId="032C8517" w14:textId="77777777">
        <w:trPr>
          <w:cantSplit/>
        </w:trPr>
        <w:tc>
          <w:tcPr>
            <w:tcW w:w="792" w:type="dxa"/>
            <w:shd w:val="clear" w:color="auto" w:fill="F5F7FA"/>
            <w:tcMar>
              <w:top w:w="90" w:type="dxa"/>
              <w:left w:w="100" w:type="dxa"/>
              <w:bottom w:w="90" w:type="dxa"/>
              <w:right w:w="100" w:type="dxa"/>
            </w:tcMar>
            <w:vAlign w:val="center"/>
          </w:tcPr>
          <w:p w14:paraId="157DF35B" w14:textId="77777777" w:rsidR="009B5AA7" w:rsidRDefault="00000000">
            <w:pPr>
              <w:spacing w:after="0" w:line="240" w:lineRule="auto"/>
              <w:jc w:val="center"/>
              <w:rPr>
                <w:rFonts w:hint="eastAsia"/>
              </w:rPr>
            </w:pPr>
            <w:r>
              <w:rPr>
                <w:sz w:val="16"/>
              </w:rPr>
              <w:t>50%</w:t>
            </w:r>
          </w:p>
        </w:tc>
        <w:tc>
          <w:tcPr>
            <w:tcW w:w="1512" w:type="dxa"/>
            <w:shd w:val="clear" w:color="auto" w:fill="F5F7FA"/>
            <w:tcMar>
              <w:top w:w="90" w:type="dxa"/>
              <w:left w:w="100" w:type="dxa"/>
              <w:bottom w:w="90" w:type="dxa"/>
              <w:right w:w="100" w:type="dxa"/>
            </w:tcMar>
            <w:vAlign w:val="center"/>
          </w:tcPr>
          <w:p w14:paraId="1BEDB55D" w14:textId="77777777" w:rsidR="009B5AA7" w:rsidRDefault="00000000">
            <w:pPr>
              <w:spacing w:after="0" w:line="240" w:lineRule="auto"/>
              <w:jc w:val="center"/>
              <w:rPr>
                <w:rFonts w:hint="eastAsia"/>
              </w:rPr>
            </w:pPr>
            <w:r>
              <w:rPr>
                <w:sz w:val="16"/>
              </w:rPr>
              <w:t>1,397,875</w:t>
            </w:r>
          </w:p>
        </w:tc>
        <w:tc>
          <w:tcPr>
            <w:tcW w:w="1440" w:type="dxa"/>
            <w:shd w:val="clear" w:color="auto" w:fill="F5F7FA"/>
            <w:tcMar>
              <w:top w:w="90" w:type="dxa"/>
              <w:left w:w="100" w:type="dxa"/>
              <w:bottom w:w="90" w:type="dxa"/>
              <w:right w:w="100" w:type="dxa"/>
            </w:tcMar>
            <w:vAlign w:val="center"/>
          </w:tcPr>
          <w:p w14:paraId="09537952" w14:textId="77777777" w:rsidR="009B5AA7" w:rsidRDefault="00000000">
            <w:pPr>
              <w:spacing w:after="0" w:line="240" w:lineRule="auto"/>
              <w:jc w:val="center"/>
              <w:rPr>
                <w:rFonts w:hint="eastAsia"/>
              </w:rPr>
            </w:pPr>
            <w:r>
              <w:rPr>
                <w:sz w:val="16"/>
              </w:rPr>
              <w:t>1.956 pp</w:t>
            </w:r>
          </w:p>
        </w:tc>
        <w:tc>
          <w:tcPr>
            <w:tcW w:w="1656" w:type="dxa"/>
            <w:shd w:val="clear" w:color="auto" w:fill="F5F7FA"/>
            <w:tcMar>
              <w:top w:w="90" w:type="dxa"/>
              <w:left w:w="100" w:type="dxa"/>
              <w:bottom w:w="90" w:type="dxa"/>
              <w:right w:w="100" w:type="dxa"/>
            </w:tcMar>
            <w:vAlign w:val="center"/>
          </w:tcPr>
          <w:p w14:paraId="6261EBAB" w14:textId="77777777" w:rsidR="009B5AA7" w:rsidRDefault="00000000">
            <w:pPr>
              <w:spacing w:after="0" w:line="240" w:lineRule="auto"/>
              <w:jc w:val="center"/>
              <w:rPr>
                <w:rFonts w:hint="eastAsia"/>
              </w:rPr>
            </w:pPr>
            <w:r>
              <w:rPr>
                <w:sz w:val="16"/>
              </w:rPr>
              <w:t>27,349</w:t>
            </w:r>
          </w:p>
        </w:tc>
        <w:tc>
          <w:tcPr>
            <w:tcW w:w="1440" w:type="dxa"/>
            <w:shd w:val="clear" w:color="auto" w:fill="F5F7FA"/>
            <w:tcMar>
              <w:top w:w="90" w:type="dxa"/>
              <w:left w:w="100" w:type="dxa"/>
              <w:bottom w:w="90" w:type="dxa"/>
              <w:right w:w="100" w:type="dxa"/>
            </w:tcMar>
            <w:vAlign w:val="center"/>
          </w:tcPr>
          <w:p w14:paraId="619AF7C1" w14:textId="77777777" w:rsidR="009B5AA7" w:rsidRDefault="00000000">
            <w:pPr>
              <w:spacing w:after="0" w:line="240" w:lineRule="auto"/>
              <w:jc w:val="center"/>
              <w:rPr>
                <w:rFonts w:hint="eastAsia"/>
              </w:rPr>
            </w:pPr>
            <w:r>
              <w:rPr>
                <w:sz w:val="16"/>
              </w:rPr>
              <w:t>94.7%</w:t>
            </w:r>
          </w:p>
        </w:tc>
        <w:tc>
          <w:tcPr>
            <w:tcW w:w="1656" w:type="dxa"/>
            <w:shd w:val="clear" w:color="auto" w:fill="F5F7FA"/>
            <w:tcMar>
              <w:top w:w="90" w:type="dxa"/>
              <w:left w:w="100" w:type="dxa"/>
              <w:bottom w:w="90" w:type="dxa"/>
              <w:right w:w="100" w:type="dxa"/>
            </w:tcMar>
            <w:vAlign w:val="center"/>
          </w:tcPr>
          <w:p w14:paraId="111F91E4" w14:textId="77777777" w:rsidR="009B5AA7" w:rsidRDefault="00000000">
            <w:pPr>
              <w:spacing w:after="0" w:line="240" w:lineRule="auto"/>
              <w:jc w:val="center"/>
              <w:rPr>
                <w:rFonts w:hint="eastAsia"/>
              </w:rPr>
            </w:pPr>
            <w:r>
              <w:rPr>
                <w:sz w:val="16"/>
              </w:rPr>
              <w:t>12,902</w:t>
            </w:r>
          </w:p>
        </w:tc>
      </w:tr>
      <w:tr w:rsidR="009B5AA7" w14:paraId="1D61E279" w14:textId="77777777">
        <w:trPr>
          <w:cantSplit/>
        </w:trPr>
        <w:tc>
          <w:tcPr>
            <w:tcW w:w="792" w:type="dxa"/>
            <w:tcMar>
              <w:top w:w="90" w:type="dxa"/>
              <w:left w:w="100" w:type="dxa"/>
              <w:bottom w:w="90" w:type="dxa"/>
              <w:right w:w="100" w:type="dxa"/>
            </w:tcMar>
            <w:vAlign w:val="center"/>
          </w:tcPr>
          <w:p w14:paraId="5DFA6BBE" w14:textId="77777777" w:rsidR="009B5AA7" w:rsidRDefault="00000000">
            <w:pPr>
              <w:spacing w:after="0" w:line="240" w:lineRule="auto"/>
              <w:jc w:val="center"/>
              <w:rPr>
                <w:rFonts w:hint="eastAsia"/>
              </w:rPr>
            </w:pPr>
            <w:r>
              <w:rPr>
                <w:sz w:val="16"/>
              </w:rPr>
              <w:t>75%</w:t>
            </w:r>
          </w:p>
        </w:tc>
        <w:tc>
          <w:tcPr>
            <w:tcW w:w="1512" w:type="dxa"/>
            <w:tcMar>
              <w:top w:w="90" w:type="dxa"/>
              <w:left w:w="100" w:type="dxa"/>
              <w:bottom w:w="90" w:type="dxa"/>
              <w:right w:w="100" w:type="dxa"/>
            </w:tcMar>
            <w:vAlign w:val="center"/>
          </w:tcPr>
          <w:p w14:paraId="6B042E31" w14:textId="77777777" w:rsidR="009B5AA7" w:rsidRDefault="00000000">
            <w:pPr>
              <w:spacing w:after="0" w:line="240" w:lineRule="auto"/>
              <w:jc w:val="center"/>
              <w:rPr>
                <w:rFonts w:hint="eastAsia"/>
              </w:rPr>
            </w:pPr>
            <w:r>
              <w:rPr>
                <w:sz w:val="16"/>
              </w:rPr>
              <w:t>2,096,812</w:t>
            </w:r>
          </w:p>
        </w:tc>
        <w:tc>
          <w:tcPr>
            <w:tcW w:w="1440" w:type="dxa"/>
            <w:tcMar>
              <w:top w:w="90" w:type="dxa"/>
              <w:left w:w="100" w:type="dxa"/>
              <w:bottom w:w="90" w:type="dxa"/>
              <w:right w:w="100" w:type="dxa"/>
            </w:tcMar>
            <w:vAlign w:val="center"/>
          </w:tcPr>
          <w:p w14:paraId="1A6CFA4D" w14:textId="77777777" w:rsidR="009B5AA7" w:rsidRDefault="00000000">
            <w:pPr>
              <w:spacing w:after="0" w:line="240" w:lineRule="auto"/>
              <w:jc w:val="center"/>
              <w:rPr>
                <w:rFonts w:hint="eastAsia"/>
              </w:rPr>
            </w:pPr>
            <w:r>
              <w:rPr>
                <w:sz w:val="16"/>
              </w:rPr>
              <w:t>1.376 pp</w:t>
            </w:r>
          </w:p>
        </w:tc>
        <w:tc>
          <w:tcPr>
            <w:tcW w:w="1656" w:type="dxa"/>
            <w:tcMar>
              <w:top w:w="90" w:type="dxa"/>
              <w:left w:w="100" w:type="dxa"/>
              <w:bottom w:w="90" w:type="dxa"/>
              <w:right w:w="100" w:type="dxa"/>
            </w:tcMar>
            <w:vAlign w:val="center"/>
          </w:tcPr>
          <w:p w14:paraId="61CB100C" w14:textId="77777777" w:rsidR="009B5AA7" w:rsidRDefault="00000000">
            <w:pPr>
              <w:spacing w:after="0" w:line="240" w:lineRule="auto"/>
              <w:jc w:val="center"/>
              <w:rPr>
                <w:rFonts w:hint="eastAsia"/>
              </w:rPr>
            </w:pPr>
            <w:r>
              <w:rPr>
                <w:sz w:val="16"/>
              </w:rPr>
              <w:t>28,846</w:t>
            </w:r>
          </w:p>
        </w:tc>
        <w:tc>
          <w:tcPr>
            <w:tcW w:w="1440" w:type="dxa"/>
            <w:tcMar>
              <w:top w:w="90" w:type="dxa"/>
              <w:left w:w="100" w:type="dxa"/>
              <w:bottom w:w="90" w:type="dxa"/>
              <w:right w:w="100" w:type="dxa"/>
            </w:tcMar>
            <w:vAlign w:val="center"/>
          </w:tcPr>
          <w:p w14:paraId="46337F6A" w14:textId="77777777" w:rsidR="009B5AA7" w:rsidRDefault="00000000">
            <w:pPr>
              <w:spacing w:after="0" w:line="240" w:lineRule="auto"/>
              <w:jc w:val="center"/>
              <w:rPr>
                <w:rFonts w:hint="eastAsia"/>
              </w:rPr>
            </w:pPr>
            <w:r>
              <w:rPr>
                <w:sz w:val="16"/>
              </w:rPr>
              <w:t>99.8%</w:t>
            </w:r>
          </w:p>
        </w:tc>
        <w:tc>
          <w:tcPr>
            <w:tcW w:w="1656" w:type="dxa"/>
            <w:tcMar>
              <w:top w:w="90" w:type="dxa"/>
              <w:left w:w="100" w:type="dxa"/>
              <w:bottom w:w="90" w:type="dxa"/>
              <w:right w:w="100" w:type="dxa"/>
            </w:tcMar>
            <w:vAlign w:val="center"/>
          </w:tcPr>
          <w:p w14:paraId="40ABE44B" w14:textId="77777777" w:rsidR="009B5AA7" w:rsidRDefault="00000000">
            <w:pPr>
              <w:spacing w:after="0" w:line="240" w:lineRule="auto"/>
              <w:jc w:val="center"/>
              <w:rPr>
                <w:rFonts w:hint="eastAsia"/>
              </w:rPr>
            </w:pPr>
            <w:r>
              <w:rPr>
                <w:sz w:val="16"/>
              </w:rPr>
              <w:t>7,176</w:t>
            </w:r>
          </w:p>
        </w:tc>
      </w:tr>
      <w:tr w:rsidR="009B5AA7" w14:paraId="56C5E241" w14:textId="77777777">
        <w:trPr>
          <w:cantSplit/>
        </w:trPr>
        <w:tc>
          <w:tcPr>
            <w:tcW w:w="792" w:type="dxa"/>
            <w:shd w:val="clear" w:color="auto" w:fill="F5F7FA"/>
            <w:tcMar>
              <w:top w:w="90" w:type="dxa"/>
              <w:left w:w="100" w:type="dxa"/>
              <w:bottom w:w="90" w:type="dxa"/>
              <w:right w:w="100" w:type="dxa"/>
            </w:tcMar>
            <w:vAlign w:val="center"/>
          </w:tcPr>
          <w:p w14:paraId="4F39EB89" w14:textId="77777777" w:rsidR="009B5AA7" w:rsidRDefault="00000000">
            <w:pPr>
              <w:spacing w:after="0" w:line="240" w:lineRule="auto"/>
              <w:jc w:val="center"/>
              <w:rPr>
                <w:rFonts w:hint="eastAsia"/>
              </w:rPr>
            </w:pPr>
            <w:r>
              <w:rPr>
                <w:sz w:val="16"/>
              </w:rPr>
              <w:t>100%</w:t>
            </w:r>
          </w:p>
        </w:tc>
        <w:tc>
          <w:tcPr>
            <w:tcW w:w="1512" w:type="dxa"/>
            <w:shd w:val="clear" w:color="auto" w:fill="F5F7FA"/>
            <w:tcMar>
              <w:top w:w="90" w:type="dxa"/>
              <w:left w:w="100" w:type="dxa"/>
              <w:bottom w:w="90" w:type="dxa"/>
              <w:right w:w="100" w:type="dxa"/>
            </w:tcMar>
            <w:vAlign w:val="center"/>
          </w:tcPr>
          <w:p w14:paraId="7C0DCDB8" w14:textId="77777777" w:rsidR="009B5AA7" w:rsidRDefault="00000000">
            <w:pPr>
              <w:spacing w:after="0" w:line="240" w:lineRule="auto"/>
              <w:jc w:val="center"/>
              <w:rPr>
                <w:rFonts w:hint="eastAsia"/>
              </w:rPr>
            </w:pPr>
            <w:r>
              <w:rPr>
                <w:sz w:val="16"/>
              </w:rPr>
              <w:t>2,795,749</w:t>
            </w:r>
          </w:p>
        </w:tc>
        <w:tc>
          <w:tcPr>
            <w:tcW w:w="1440" w:type="dxa"/>
            <w:shd w:val="clear" w:color="auto" w:fill="F5F7FA"/>
            <w:tcMar>
              <w:top w:w="90" w:type="dxa"/>
              <w:left w:w="100" w:type="dxa"/>
              <w:bottom w:w="90" w:type="dxa"/>
              <w:right w:w="100" w:type="dxa"/>
            </w:tcMar>
            <w:vAlign w:val="center"/>
          </w:tcPr>
          <w:p w14:paraId="3899FBB6" w14:textId="77777777" w:rsidR="009B5AA7" w:rsidRDefault="00000000">
            <w:pPr>
              <w:spacing w:after="0" w:line="240" w:lineRule="auto"/>
              <w:jc w:val="center"/>
              <w:rPr>
                <w:rFonts w:hint="eastAsia"/>
              </w:rPr>
            </w:pPr>
            <w:r>
              <w:rPr>
                <w:sz w:val="16"/>
              </w:rPr>
              <w:t>1.033 pp</w:t>
            </w:r>
          </w:p>
        </w:tc>
        <w:tc>
          <w:tcPr>
            <w:tcW w:w="1656" w:type="dxa"/>
            <w:shd w:val="clear" w:color="auto" w:fill="F5F7FA"/>
            <w:tcMar>
              <w:top w:w="90" w:type="dxa"/>
              <w:left w:w="100" w:type="dxa"/>
              <w:bottom w:w="90" w:type="dxa"/>
              <w:right w:w="100" w:type="dxa"/>
            </w:tcMar>
            <w:vAlign w:val="center"/>
          </w:tcPr>
          <w:p w14:paraId="065A564E" w14:textId="77777777" w:rsidR="009B5AA7" w:rsidRDefault="00000000">
            <w:pPr>
              <w:spacing w:after="0" w:line="240" w:lineRule="auto"/>
              <w:jc w:val="center"/>
              <w:rPr>
                <w:rFonts w:hint="eastAsia"/>
              </w:rPr>
            </w:pPr>
            <w:r>
              <w:rPr>
                <w:sz w:val="16"/>
              </w:rPr>
              <w:t>28,893</w:t>
            </w:r>
          </w:p>
        </w:tc>
        <w:tc>
          <w:tcPr>
            <w:tcW w:w="1440" w:type="dxa"/>
            <w:shd w:val="clear" w:color="auto" w:fill="F5F7FA"/>
            <w:tcMar>
              <w:top w:w="90" w:type="dxa"/>
              <w:left w:w="100" w:type="dxa"/>
              <w:bottom w:w="90" w:type="dxa"/>
              <w:right w:w="100" w:type="dxa"/>
            </w:tcMar>
            <w:vAlign w:val="center"/>
          </w:tcPr>
          <w:p w14:paraId="52AD9200" w14:textId="77777777" w:rsidR="009B5AA7" w:rsidRDefault="00000000">
            <w:pPr>
              <w:spacing w:after="0" w:line="240" w:lineRule="auto"/>
              <w:jc w:val="center"/>
              <w:rPr>
                <w:rFonts w:hint="eastAsia"/>
              </w:rPr>
            </w:pPr>
            <w:r>
              <w:rPr>
                <w:sz w:val="16"/>
              </w:rPr>
              <w:t>100.0%</w:t>
            </w:r>
          </w:p>
        </w:tc>
        <w:tc>
          <w:tcPr>
            <w:tcW w:w="1656" w:type="dxa"/>
            <w:shd w:val="clear" w:color="auto" w:fill="F5F7FA"/>
            <w:tcMar>
              <w:top w:w="90" w:type="dxa"/>
              <w:left w:w="100" w:type="dxa"/>
              <w:bottom w:w="90" w:type="dxa"/>
              <w:right w:w="100" w:type="dxa"/>
            </w:tcMar>
            <w:vAlign w:val="center"/>
          </w:tcPr>
          <w:p w14:paraId="67C6F585" w14:textId="77777777" w:rsidR="009B5AA7" w:rsidRDefault="00000000">
            <w:pPr>
              <w:spacing w:after="0" w:line="240" w:lineRule="auto"/>
              <w:jc w:val="center"/>
              <w:rPr>
                <w:rFonts w:hint="eastAsia"/>
              </w:rPr>
            </w:pPr>
            <w:r>
              <w:rPr>
                <w:sz w:val="16"/>
              </w:rPr>
              <w:t>0</w:t>
            </w:r>
          </w:p>
        </w:tc>
      </w:tr>
    </w:tbl>
    <w:p w14:paraId="0085C9E2" w14:textId="77777777" w:rsidR="009B5AA7" w:rsidRDefault="009B5AA7">
      <w:pPr>
        <w:spacing w:after="0"/>
        <w:rPr>
          <w:rFonts w:hint="eastAsia"/>
        </w:rPr>
      </w:pPr>
    </w:p>
    <w:p w14:paraId="279E96A7" w14:textId="77777777" w:rsidR="009B5AA7" w:rsidRDefault="00000000">
      <w:pPr>
        <w:rPr>
          <w:rFonts w:hint="eastAsia"/>
        </w:rPr>
      </w:pPr>
      <w:r>
        <w:t>At a 10% budget, the ranking captures 62.0% of the estimated full-population endpoint while serving 10% of records. Moving from 10% to 30% increases estimated incremental visits from 17,919 to 24,765, but selected-group uplift falls from 6.409 to 2.953 percentage points.</w:t>
      </w:r>
    </w:p>
    <w:p w14:paraId="0A065D50" w14:textId="77777777" w:rsidR="009B5AA7" w:rsidRDefault="00000000">
      <w:pPr>
        <w:pStyle w:val="af7"/>
        <w:keepNext/>
        <w:jc w:val="center"/>
        <w:rPr>
          <w:rFonts w:hint="eastAsia"/>
        </w:rPr>
      </w:pPr>
      <w:r>
        <w:lastRenderedPageBreak/>
        <w:t>Figure 5  Visit targeting outcomes at the main budget levels</w:t>
      </w:r>
    </w:p>
    <w:p w14:paraId="31368078" w14:textId="77777777" w:rsidR="009B5AA7" w:rsidRDefault="00000000">
      <w:pPr>
        <w:keepLines/>
        <w:spacing w:after="200"/>
        <w:jc w:val="center"/>
        <w:rPr>
          <w:rFonts w:hint="eastAsia"/>
        </w:rPr>
      </w:pPr>
      <w:r>
        <w:rPr>
          <w:noProof/>
        </w:rPr>
        <w:drawing>
          <wp:inline distT="0" distB="0" distL="0" distR="0" wp14:anchorId="4A91770A" wp14:editId="49908AE1">
            <wp:extent cx="5852160" cy="23408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it_targeting_comparison.png"/>
                    <pic:cNvPicPr/>
                  </pic:nvPicPr>
                  <pic:blipFill>
                    <a:blip r:embed="rId12"/>
                    <a:stretch>
                      <a:fillRect/>
                    </a:stretch>
                  </pic:blipFill>
                  <pic:spPr>
                    <a:xfrm>
                      <a:off x="0" y="0"/>
                      <a:ext cx="5852160" cy="2340864"/>
                    </a:xfrm>
                    <a:prstGeom prst="rect">
                      <a:avLst/>
                    </a:prstGeom>
                  </pic:spPr>
                </pic:pic>
              </a:graphicData>
            </a:graphic>
          </wp:inline>
        </w:drawing>
      </w:r>
    </w:p>
    <w:p w14:paraId="12EB58D8" w14:textId="77777777" w:rsidR="009B5AA7" w:rsidRDefault="00000000">
      <w:pPr>
        <w:pStyle w:val="21"/>
      </w:pPr>
      <w:r>
        <w:t>Conversion policy using response propensity</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2"/>
        <w:gridCol w:w="1512"/>
        <w:gridCol w:w="1440"/>
        <w:gridCol w:w="1944"/>
        <w:gridCol w:w="1440"/>
        <w:gridCol w:w="1656"/>
      </w:tblGrid>
      <w:tr w:rsidR="009B5AA7" w14:paraId="1FB51833" w14:textId="77777777">
        <w:trPr>
          <w:tblHeader/>
        </w:trPr>
        <w:tc>
          <w:tcPr>
            <w:tcW w:w="792" w:type="dxa"/>
            <w:shd w:val="clear" w:color="auto" w:fill="17365D"/>
            <w:tcMar>
              <w:top w:w="110" w:type="dxa"/>
              <w:left w:w="100" w:type="dxa"/>
              <w:bottom w:w="110" w:type="dxa"/>
              <w:right w:w="100" w:type="dxa"/>
            </w:tcMar>
            <w:vAlign w:val="center"/>
          </w:tcPr>
          <w:p w14:paraId="69BC1F1C" w14:textId="77777777" w:rsidR="009B5AA7" w:rsidRDefault="00000000">
            <w:pPr>
              <w:spacing w:after="0"/>
              <w:jc w:val="center"/>
              <w:rPr>
                <w:rFonts w:hint="eastAsia"/>
              </w:rPr>
            </w:pPr>
            <w:r>
              <w:rPr>
                <w:b/>
                <w:color w:val="FFFFFF"/>
                <w:sz w:val="15"/>
              </w:rPr>
              <w:t>Target</w:t>
            </w:r>
          </w:p>
        </w:tc>
        <w:tc>
          <w:tcPr>
            <w:tcW w:w="1512" w:type="dxa"/>
            <w:shd w:val="clear" w:color="auto" w:fill="17365D"/>
            <w:tcMar>
              <w:top w:w="110" w:type="dxa"/>
              <w:left w:w="100" w:type="dxa"/>
              <w:bottom w:w="110" w:type="dxa"/>
              <w:right w:w="100" w:type="dxa"/>
            </w:tcMar>
            <w:vAlign w:val="center"/>
          </w:tcPr>
          <w:p w14:paraId="7102660C" w14:textId="77777777" w:rsidR="009B5AA7" w:rsidRDefault="00000000">
            <w:pPr>
              <w:spacing w:after="0"/>
              <w:jc w:val="center"/>
              <w:rPr>
                <w:rFonts w:hint="eastAsia"/>
              </w:rPr>
            </w:pPr>
            <w:r>
              <w:rPr>
                <w:b/>
                <w:color w:val="FFFFFF"/>
                <w:sz w:val="15"/>
              </w:rPr>
              <w:t>Selected records</w:t>
            </w:r>
          </w:p>
        </w:tc>
        <w:tc>
          <w:tcPr>
            <w:tcW w:w="1440" w:type="dxa"/>
            <w:shd w:val="clear" w:color="auto" w:fill="17365D"/>
            <w:tcMar>
              <w:top w:w="110" w:type="dxa"/>
              <w:left w:w="100" w:type="dxa"/>
              <w:bottom w:w="110" w:type="dxa"/>
              <w:right w:w="100" w:type="dxa"/>
            </w:tcMar>
            <w:vAlign w:val="center"/>
          </w:tcPr>
          <w:p w14:paraId="0411E009" w14:textId="77777777" w:rsidR="009B5AA7" w:rsidRDefault="00000000">
            <w:pPr>
              <w:spacing w:after="0"/>
              <w:jc w:val="center"/>
              <w:rPr>
                <w:rFonts w:hint="eastAsia"/>
              </w:rPr>
            </w:pPr>
            <w:r>
              <w:rPr>
                <w:b/>
                <w:color w:val="FFFFFF"/>
                <w:sz w:val="15"/>
              </w:rPr>
              <w:t>Selected uplift</w:t>
            </w:r>
          </w:p>
        </w:tc>
        <w:tc>
          <w:tcPr>
            <w:tcW w:w="1944" w:type="dxa"/>
            <w:shd w:val="clear" w:color="auto" w:fill="17365D"/>
            <w:tcMar>
              <w:top w:w="110" w:type="dxa"/>
              <w:left w:w="100" w:type="dxa"/>
              <w:bottom w:w="110" w:type="dxa"/>
              <w:right w:w="100" w:type="dxa"/>
            </w:tcMar>
            <w:vAlign w:val="center"/>
          </w:tcPr>
          <w:p w14:paraId="3CCC6E8B" w14:textId="77777777" w:rsidR="009B5AA7" w:rsidRDefault="00000000">
            <w:pPr>
              <w:spacing w:after="0"/>
              <w:jc w:val="center"/>
              <w:rPr>
                <w:rFonts w:hint="eastAsia"/>
              </w:rPr>
            </w:pPr>
            <w:r>
              <w:rPr>
                <w:b/>
                <w:color w:val="FFFFFF"/>
                <w:sz w:val="15"/>
              </w:rPr>
              <w:t>Incremental conversions</w:t>
            </w:r>
          </w:p>
        </w:tc>
        <w:tc>
          <w:tcPr>
            <w:tcW w:w="1440" w:type="dxa"/>
            <w:shd w:val="clear" w:color="auto" w:fill="17365D"/>
            <w:tcMar>
              <w:top w:w="110" w:type="dxa"/>
              <w:left w:w="100" w:type="dxa"/>
              <w:bottom w:w="110" w:type="dxa"/>
              <w:right w:w="100" w:type="dxa"/>
            </w:tcMar>
            <w:vAlign w:val="center"/>
          </w:tcPr>
          <w:p w14:paraId="09B9A9F5" w14:textId="77777777" w:rsidR="009B5AA7" w:rsidRDefault="00000000">
            <w:pPr>
              <w:spacing w:after="0"/>
              <w:jc w:val="center"/>
              <w:rPr>
                <w:rFonts w:hint="eastAsia"/>
              </w:rPr>
            </w:pPr>
            <w:r>
              <w:rPr>
                <w:b/>
                <w:color w:val="FFFFFF"/>
                <w:sz w:val="15"/>
              </w:rPr>
              <w:t>Uplift captured</w:t>
            </w:r>
          </w:p>
        </w:tc>
        <w:tc>
          <w:tcPr>
            <w:tcW w:w="1656" w:type="dxa"/>
            <w:shd w:val="clear" w:color="auto" w:fill="17365D"/>
            <w:tcMar>
              <w:top w:w="110" w:type="dxa"/>
              <w:left w:w="100" w:type="dxa"/>
              <w:bottom w:w="110" w:type="dxa"/>
              <w:right w:w="100" w:type="dxa"/>
            </w:tcMar>
            <w:vAlign w:val="center"/>
          </w:tcPr>
          <w:p w14:paraId="32B9DF37" w14:textId="77777777" w:rsidR="009B5AA7" w:rsidRDefault="00000000">
            <w:pPr>
              <w:spacing w:after="0"/>
              <w:jc w:val="center"/>
              <w:rPr>
                <w:rFonts w:hint="eastAsia"/>
              </w:rPr>
            </w:pPr>
            <w:r>
              <w:rPr>
                <w:b/>
                <w:color w:val="FFFFFF"/>
                <w:sz w:val="15"/>
              </w:rPr>
              <w:t>Gain above random</w:t>
            </w:r>
          </w:p>
        </w:tc>
      </w:tr>
      <w:tr w:rsidR="009B5AA7" w14:paraId="05D2C31D" w14:textId="77777777">
        <w:trPr>
          <w:cantSplit/>
        </w:trPr>
        <w:tc>
          <w:tcPr>
            <w:tcW w:w="792" w:type="dxa"/>
            <w:tcMar>
              <w:top w:w="90" w:type="dxa"/>
              <w:left w:w="100" w:type="dxa"/>
              <w:bottom w:w="90" w:type="dxa"/>
              <w:right w:w="100" w:type="dxa"/>
            </w:tcMar>
            <w:vAlign w:val="center"/>
          </w:tcPr>
          <w:p w14:paraId="016E207E" w14:textId="77777777" w:rsidR="009B5AA7" w:rsidRDefault="00000000">
            <w:pPr>
              <w:spacing w:after="0" w:line="240" w:lineRule="auto"/>
              <w:jc w:val="center"/>
              <w:rPr>
                <w:rFonts w:hint="eastAsia"/>
              </w:rPr>
            </w:pPr>
            <w:r>
              <w:rPr>
                <w:sz w:val="15"/>
              </w:rPr>
              <w:t>5%</w:t>
            </w:r>
          </w:p>
        </w:tc>
        <w:tc>
          <w:tcPr>
            <w:tcW w:w="1512" w:type="dxa"/>
            <w:tcMar>
              <w:top w:w="90" w:type="dxa"/>
              <w:left w:w="100" w:type="dxa"/>
              <w:bottom w:w="90" w:type="dxa"/>
              <w:right w:w="100" w:type="dxa"/>
            </w:tcMar>
            <w:vAlign w:val="center"/>
          </w:tcPr>
          <w:p w14:paraId="78E12B95" w14:textId="77777777" w:rsidR="009B5AA7" w:rsidRDefault="00000000">
            <w:pPr>
              <w:spacing w:after="0" w:line="240" w:lineRule="auto"/>
              <w:jc w:val="center"/>
              <w:rPr>
                <w:rFonts w:hint="eastAsia"/>
              </w:rPr>
            </w:pPr>
            <w:r>
              <w:rPr>
                <w:sz w:val="15"/>
              </w:rPr>
              <w:t>139,788</w:t>
            </w:r>
          </w:p>
        </w:tc>
        <w:tc>
          <w:tcPr>
            <w:tcW w:w="1440" w:type="dxa"/>
            <w:tcMar>
              <w:top w:w="90" w:type="dxa"/>
              <w:left w:w="100" w:type="dxa"/>
              <w:bottom w:w="90" w:type="dxa"/>
              <w:right w:w="100" w:type="dxa"/>
            </w:tcMar>
            <w:vAlign w:val="center"/>
          </w:tcPr>
          <w:p w14:paraId="7151DA9A" w14:textId="77777777" w:rsidR="009B5AA7" w:rsidRDefault="00000000">
            <w:pPr>
              <w:spacing w:after="0" w:line="240" w:lineRule="auto"/>
              <w:jc w:val="center"/>
              <w:rPr>
                <w:rFonts w:hint="eastAsia"/>
              </w:rPr>
            </w:pPr>
            <w:r>
              <w:rPr>
                <w:sz w:val="15"/>
              </w:rPr>
              <w:t>1.410 pp</w:t>
            </w:r>
          </w:p>
        </w:tc>
        <w:tc>
          <w:tcPr>
            <w:tcW w:w="1944" w:type="dxa"/>
            <w:tcMar>
              <w:top w:w="90" w:type="dxa"/>
              <w:left w:w="100" w:type="dxa"/>
              <w:bottom w:w="90" w:type="dxa"/>
              <w:right w:w="100" w:type="dxa"/>
            </w:tcMar>
            <w:vAlign w:val="center"/>
          </w:tcPr>
          <w:p w14:paraId="6C3C4BB1" w14:textId="77777777" w:rsidR="009B5AA7" w:rsidRDefault="00000000">
            <w:pPr>
              <w:spacing w:after="0" w:line="240" w:lineRule="auto"/>
              <w:jc w:val="center"/>
              <w:rPr>
                <w:rFonts w:hint="eastAsia"/>
              </w:rPr>
            </w:pPr>
            <w:r>
              <w:rPr>
                <w:sz w:val="15"/>
              </w:rPr>
              <w:t>1,972</w:t>
            </w:r>
          </w:p>
        </w:tc>
        <w:tc>
          <w:tcPr>
            <w:tcW w:w="1440" w:type="dxa"/>
            <w:tcMar>
              <w:top w:w="90" w:type="dxa"/>
              <w:left w:w="100" w:type="dxa"/>
              <w:bottom w:w="90" w:type="dxa"/>
              <w:right w:w="100" w:type="dxa"/>
            </w:tcMar>
            <w:vAlign w:val="center"/>
          </w:tcPr>
          <w:p w14:paraId="6030A7FB" w14:textId="77777777" w:rsidR="009B5AA7" w:rsidRDefault="00000000">
            <w:pPr>
              <w:spacing w:after="0" w:line="240" w:lineRule="auto"/>
              <w:jc w:val="center"/>
              <w:rPr>
                <w:rFonts w:hint="eastAsia"/>
              </w:rPr>
            </w:pPr>
            <w:r>
              <w:rPr>
                <w:sz w:val="15"/>
              </w:rPr>
              <w:t>59.8%</w:t>
            </w:r>
          </w:p>
        </w:tc>
        <w:tc>
          <w:tcPr>
            <w:tcW w:w="1656" w:type="dxa"/>
            <w:tcMar>
              <w:top w:w="90" w:type="dxa"/>
              <w:left w:w="100" w:type="dxa"/>
              <w:bottom w:w="90" w:type="dxa"/>
              <w:right w:w="100" w:type="dxa"/>
            </w:tcMar>
            <w:vAlign w:val="center"/>
          </w:tcPr>
          <w:p w14:paraId="45A92A90" w14:textId="77777777" w:rsidR="009B5AA7" w:rsidRDefault="00000000">
            <w:pPr>
              <w:spacing w:after="0" w:line="240" w:lineRule="auto"/>
              <w:jc w:val="center"/>
              <w:rPr>
                <w:rFonts w:hint="eastAsia"/>
              </w:rPr>
            </w:pPr>
            <w:r>
              <w:rPr>
                <w:sz w:val="15"/>
              </w:rPr>
              <w:t>1,807</w:t>
            </w:r>
          </w:p>
        </w:tc>
      </w:tr>
      <w:tr w:rsidR="009B5AA7" w14:paraId="4AFABB17" w14:textId="77777777">
        <w:trPr>
          <w:cantSplit/>
        </w:trPr>
        <w:tc>
          <w:tcPr>
            <w:tcW w:w="792" w:type="dxa"/>
            <w:shd w:val="clear" w:color="auto" w:fill="F5F7FA"/>
            <w:tcMar>
              <w:top w:w="90" w:type="dxa"/>
              <w:left w:w="100" w:type="dxa"/>
              <w:bottom w:w="90" w:type="dxa"/>
              <w:right w:w="100" w:type="dxa"/>
            </w:tcMar>
            <w:vAlign w:val="center"/>
          </w:tcPr>
          <w:p w14:paraId="0193D920" w14:textId="77777777" w:rsidR="009B5AA7" w:rsidRDefault="00000000">
            <w:pPr>
              <w:spacing w:after="0" w:line="240" w:lineRule="auto"/>
              <w:jc w:val="center"/>
              <w:rPr>
                <w:rFonts w:hint="eastAsia"/>
              </w:rPr>
            </w:pPr>
            <w:r>
              <w:rPr>
                <w:sz w:val="15"/>
              </w:rPr>
              <w:t>10%</w:t>
            </w:r>
          </w:p>
        </w:tc>
        <w:tc>
          <w:tcPr>
            <w:tcW w:w="1512" w:type="dxa"/>
            <w:shd w:val="clear" w:color="auto" w:fill="F5F7FA"/>
            <w:tcMar>
              <w:top w:w="90" w:type="dxa"/>
              <w:left w:w="100" w:type="dxa"/>
              <w:bottom w:w="90" w:type="dxa"/>
              <w:right w:w="100" w:type="dxa"/>
            </w:tcMar>
            <w:vAlign w:val="center"/>
          </w:tcPr>
          <w:p w14:paraId="1FFD4CD6" w14:textId="77777777" w:rsidR="009B5AA7" w:rsidRDefault="00000000">
            <w:pPr>
              <w:spacing w:after="0" w:line="240" w:lineRule="auto"/>
              <w:jc w:val="center"/>
              <w:rPr>
                <w:rFonts w:hint="eastAsia"/>
              </w:rPr>
            </w:pPr>
            <w:r>
              <w:rPr>
                <w:sz w:val="15"/>
              </w:rPr>
              <w:t>279,575</w:t>
            </w:r>
          </w:p>
        </w:tc>
        <w:tc>
          <w:tcPr>
            <w:tcW w:w="1440" w:type="dxa"/>
            <w:shd w:val="clear" w:color="auto" w:fill="F5F7FA"/>
            <w:tcMar>
              <w:top w:w="90" w:type="dxa"/>
              <w:left w:w="100" w:type="dxa"/>
              <w:bottom w:w="90" w:type="dxa"/>
              <w:right w:w="100" w:type="dxa"/>
            </w:tcMar>
            <w:vAlign w:val="center"/>
          </w:tcPr>
          <w:p w14:paraId="537967A9" w14:textId="77777777" w:rsidR="009B5AA7" w:rsidRDefault="00000000">
            <w:pPr>
              <w:spacing w:after="0" w:line="240" w:lineRule="auto"/>
              <w:jc w:val="center"/>
              <w:rPr>
                <w:rFonts w:hint="eastAsia"/>
              </w:rPr>
            </w:pPr>
            <w:r>
              <w:rPr>
                <w:sz w:val="15"/>
              </w:rPr>
              <w:t>0.872 pp</w:t>
            </w:r>
          </w:p>
        </w:tc>
        <w:tc>
          <w:tcPr>
            <w:tcW w:w="1944" w:type="dxa"/>
            <w:shd w:val="clear" w:color="auto" w:fill="F5F7FA"/>
            <w:tcMar>
              <w:top w:w="90" w:type="dxa"/>
              <w:left w:w="100" w:type="dxa"/>
              <w:bottom w:w="90" w:type="dxa"/>
              <w:right w:w="100" w:type="dxa"/>
            </w:tcMar>
            <w:vAlign w:val="center"/>
          </w:tcPr>
          <w:p w14:paraId="738AB364" w14:textId="77777777" w:rsidR="009B5AA7" w:rsidRDefault="00000000">
            <w:pPr>
              <w:spacing w:after="0" w:line="240" w:lineRule="auto"/>
              <w:jc w:val="center"/>
              <w:rPr>
                <w:rFonts w:hint="eastAsia"/>
              </w:rPr>
            </w:pPr>
            <w:r>
              <w:rPr>
                <w:sz w:val="15"/>
              </w:rPr>
              <w:t>2,439</w:t>
            </w:r>
          </w:p>
        </w:tc>
        <w:tc>
          <w:tcPr>
            <w:tcW w:w="1440" w:type="dxa"/>
            <w:shd w:val="clear" w:color="auto" w:fill="F5F7FA"/>
            <w:tcMar>
              <w:top w:w="90" w:type="dxa"/>
              <w:left w:w="100" w:type="dxa"/>
              <w:bottom w:w="90" w:type="dxa"/>
              <w:right w:w="100" w:type="dxa"/>
            </w:tcMar>
            <w:vAlign w:val="center"/>
          </w:tcPr>
          <w:p w14:paraId="2B1108A1" w14:textId="77777777" w:rsidR="009B5AA7" w:rsidRDefault="00000000">
            <w:pPr>
              <w:spacing w:after="0" w:line="240" w:lineRule="auto"/>
              <w:jc w:val="center"/>
              <w:rPr>
                <w:rFonts w:hint="eastAsia"/>
              </w:rPr>
            </w:pPr>
            <w:r>
              <w:rPr>
                <w:sz w:val="15"/>
              </w:rPr>
              <w:t>74.0%</w:t>
            </w:r>
          </w:p>
        </w:tc>
        <w:tc>
          <w:tcPr>
            <w:tcW w:w="1656" w:type="dxa"/>
            <w:shd w:val="clear" w:color="auto" w:fill="F5F7FA"/>
            <w:tcMar>
              <w:top w:w="90" w:type="dxa"/>
              <w:left w:w="100" w:type="dxa"/>
              <w:bottom w:w="90" w:type="dxa"/>
              <w:right w:w="100" w:type="dxa"/>
            </w:tcMar>
            <w:vAlign w:val="center"/>
          </w:tcPr>
          <w:p w14:paraId="4784C15C" w14:textId="77777777" w:rsidR="009B5AA7" w:rsidRDefault="00000000">
            <w:pPr>
              <w:spacing w:after="0" w:line="240" w:lineRule="auto"/>
              <w:jc w:val="center"/>
              <w:rPr>
                <w:rFonts w:hint="eastAsia"/>
              </w:rPr>
            </w:pPr>
            <w:r>
              <w:rPr>
                <w:sz w:val="15"/>
              </w:rPr>
              <w:t>2,109</w:t>
            </w:r>
          </w:p>
        </w:tc>
      </w:tr>
      <w:tr w:rsidR="009B5AA7" w14:paraId="031D0436" w14:textId="77777777">
        <w:trPr>
          <w:cantSplit/>
        </w:trPr>
        <w:tc>
          <w:tcPr>
            <w:tcW w:w="792" w:type="dxa"/>
            <w:tcMar>
              <w:top w:w="90" w:type="dxa"/>
              <w:left w:w="100" w:type="dxa"/>
              <w:bottom w:w="90" w:type="dxa"/>
              <w:right w:w="100" w:type="dxa"/>
            </w:tcMar>
            <w:vAlign w:val="center"/>
          </w:tcPr>
          <w:p w14:paraId="0FE844F0" w14:textId="77777777" w:rsidR="009B5AA7" w:rsidRDefault="00000000">
            <w:pPr>
              <w:spacing w:after="0" w:line="240" w:lineRule="auto"/>
              <w:jc w:val="center"/>
              <w:rPr>
                <w:rFonts w:hint="eastAsia"/>
              </w:rPr>
            </w:pPr>
            <w:r>
              <w:rPr>
                <w:sz w:val="15"/>
              </w:rPr>
              <w:t>20%</w:t>
            </w:r>
          </w:p>
        </w:tc>
        <w:tc>
          <w:tcPr>
            <w:tcW w:w="1512" w:type="dxa"/>
            <w:tcMar>
              <w:top w:w="90" w:type="dxa"/>
              <w:left w:w="100" w:type="dxa"/>
              <w:bottom w:w="90" w:type="dxa"/>
              <w:right w:w="100" w:type="dxa"/>
            </w:tcMar>
            <w:vAlign w:val="center"/>
          </w:tcPr>
          <w:p w14:paraId="5CA96E06" w14:textId="77777777" w:rsidR="009B5AA7" w:rsidRDefault="00000000">
            <w:pPr>
              <w:spacing w:after="0" w:line="240" w:lineRule="auto"/>
              <w:jc w:val="center"/>
              <w:rPr>
                <w:rFonts w:hint="eastAsia"/>
              </w:rPr>
            </w:pPr>
            <w:r>
              <w:rPr>
                <w:sz w:val="15"/>
              </w:rPr>
              <w:t>559,150</w:t>
            </w:r>
          </w:p>
        </w:tc>
        <w:tc>
          <w:tcPr>
            <w:tcW w:w="1440" w:type="dxa"/>
            <w:tcMar>
              <w:top w:w="90" w:type="dxa"/>
              <w:left w:w="100" w:type="dxa"/>
              <w:bottom w:w="90" w:type="dxa"/>
              <w:right w:w="100" w:type="dxa"/>
            </w:tcMar>
            <w:vAlign w:val="center"/>
          </w:tcPr>
          <w:p w14:paraId="6AEEB6EA" w14:textId="77777777" w:rsidR="009B5AA7" w:rsidRDefault="00000000">
            <w:pPr>
              <w:spacing w:after="0" w:line="240" w:lineRule="auto"/>
              <w:jc w:val="center"/>
              <w:rPr>
                <w:rFonts w:hint="eastAsia"/>
              </w:rPr>
            </w:pPr>
            <w:r>
              <w:rPr>
                <w:sz w:val="15"/>
              </w:rPr>
              <w:t>0.505 pp</w:t>
            </w:r>
          </w:p>
        </w:tc>
        <w:tc>
          <w:tcPr>
            <w:tcW w:w="1944" w:type="dxa"/>
            <w:tcMar>
              <w:top w:w="90" w:type="dxa"/>
              <w:left w:w="100" w:type="dxa"/>
              <w:bottom w:w="90" w:type="dxa"/>
              <w:right w:w="100" w:type="dxa"/>
            </w:tcMar>
            <w:vAlign w:val="center"/>
          </w:tcPr>
          <w:p w14:paraId="62EC2DEF" w14:textId="77777777" w:rsidR="009B5AA7" w:rsidRDefault="00000000">
            <w:pPr>
              <w:spacing w:after="0" w:line="240" w:lineRule="auto"/>
              <w:jc w:val="center"/>
              <w:rPr>
                <w:rFonts w:hint="eastAsia"/>
              </w:rPr>
            </w:pPr>
            <w:r>
              <w:rPr>
                <w:sz w:val="15"/>
              </w:rPr>
              <w:t>2,822</w:t>
            </w:r>
          </w:p>
        </w:tc>
        <w:tc>
          <w:tcPr>
            <w:tcW w:w="1440" w:type="dxa"/>
            <w:tcMar>
              <w:top w:w="90" w:type="dxa"/>
              <w:left w:w="100" w:type="dxa"/>
              <w:bottom w:w="90" w:type="dxa"/>
              <w:right w:w="100" w:type="dxa"/>
            </w:tcMar>
            <w:vAlign w:val="center"/>
          </w:tcPr>
          <w:p w14:paraId="19AB1E7D" w14:textId="77777777" w:rsidR="009B5AA7" w:rsidRDefault="00000000">
            <w:pPr>
              <w:spacing w:after="0" w:line="240" w:lineRule="auto"/>
              <w:jc w:val="center"/>
              <w:rPr>
                <w:rFonts w:hint="eastAsia"/>
              </w:rPr>
            </w:pPr>
            <w:r>
              <w:rPr>
                <w:sz w:val="15"/>
              </w:rPr>
              <w:t>85.6%</w:t>
            </w:r>
          </w:p>
        </w:tc>
        <w:tc>
          <w:tcPr>
            <w:tcW w:w="1656" w:type="dxa"/>
            <w:tcMar>
              <w:top w:w="90" w:type="dxa"/>
              <w:left w:w="100" w:type="dxa"/>
              <w:bottom w:w="90" w:type="dxa"/>
              <w:right w:w="100" w:type="dxa"/>
            </w:tcMar>
            <w:vAlign w:val="center"/>
          </w:tcPr>
          <w:p w14:paraId="54BD7421" w14:textId="77777777" w:rsidR="009B5AA7" w:rsidRDefault="00000000">
            <w:pPr>
              <w:spacing w:after="0" w:line="240" w:lineRule="auto"/>
              <w:jc w:val="center"/>
              <w:rPr>
                <w:rFonts w:hint="eastAsia"/>
              </w:rPr>
            </w:pPr>
            <w:r>
              <w:rPr>
                <w:sz w:val="15"/>
              </w:rPr>
              <w:t>2,162</w:t>
            </w:r>
          </w:p>
        </w:tc>
      </w:tr>
      <w:tr w:rsidR="009B5AA7" w14:paraId="48CB8E2A" w14:textId="77777777">
        <w:trPr>
          <w:cantSplit/>
        </w:trPr>
        <w:tc>
          <w:tcPr>
            <w:tcW w:w="792" w:type="dxa"/>
            <w:shd w:val="clear" w:color="auto" w:fill="F5F7FA"/>
            <w:tcMar>
              <w:top w:w="90" w:type="dxa"/>
              <w:left w:w="100" w:type="dxa"/>
              <w:bottom w:w="90" w:type="dxa"/>
              <w:right w:w="100" w:type="dxa"/>
            </w:tcMar>
            <w:vAlign w:val="center"/>
          </w:tcPr>
          <w:p w14:paraId="0B374684" w14:textId="77777777" w:rsidR="009B5AA7" w:rsidRDefault="00000000">
            <w:pPr>
              <w:spacing w:after="0" w:line="240" w:lineRule="auto"/>
              <w:jc w:val="center"/>
              <w:rPr>
                <w:rFonts w:hint="eastAsia"/>
              </w:rPr>
            </w:pPr>
            <w:r>
              <w:rPr>
                <w:sz w:val="15"/>
              </w:rPr>
              <w:t>30%</w:t>
            </w:r>
          </w:p>
        </w:tc>
        <w:tc>
          <w:tcPr>
            <w:tcW w:w="1512" w:type="dxa"/>
            <w:shd w:val="clear" w:color="auto" w:fill="F5F7FA"/>
            <w:tcMar>
              <w:top w:w="90" w:type="dxa"/>
              <w:left w:w="100" w:type="dxa"/>
              <w:bottom w:w="90" w:type="dxa"/>
              <w:right w:w="100" w:type="dxa"/>
            </w:tcMar>
            <w:vAlign w:val="center"/>
          </w:tcPr>
          <w:p w14:paraId="6298E096" w14:textId="77777777" w:rsidR="009B5AA7" w:rsidRDefault="00000000">
            <w:pPr>
              <w:spacing w:after="0" w:line="240" w:lineRule="auto"/>
              <w:jc w:val="center"/>
              <w:rPr>
                <w:rFonts w:hint="eastAsia"/>
              </w:rPr>
            </w:pPr>
            <w:r>
              <w:rPr>
                <w:sz w:val="15"/>
              </w:rPr>
              <w:t>838,725</w:t>
            </w:r>
          </w:p>
        </w:tc>
        <w:tc>
          <w:tcPr>
            <w:tcW w:w="1440" w:type="dxa"/>
            <w:shd w:val="clear" w:color="auto" w:fill="F5F7FA"/>
            <w:tcMar>
              <w:top w:w="90" w:type="dxa"/>
              <w:left w:w="100" w:type="dxa"/>
              <w:bottom w:w="90" w:type="dxa"/>
              <w:right w:w="100" w:type="dxa"/>
            </w:tcMar>
            <w:vAlign w:val="center"/>
          </w:tcPr>
          <w:p w14:paraId="1DECD8E4" w14:textId="77777777" w:rsidR="009B5AA7" w:rsidRDefault="00000000">
            <w:pPr>
              <w:spacing w:after="0" w:line="240" w:lineRule="auto"/>
              <w:jc w:val="center"/>
              <w:rPr>
                <w:rFonts w:hint="eastAsia"/>
              </w:rPr>
            </w:pPr>
            <w:r>
              <w:rPr>
                <w:sz w:val="15"/>
              </w:rPr>
              <w:t>0.360 pp</w:t>
            </w:r>
          </w:p>
        </w:tc>
        <w:tc>
          <w:tcPr>
            <w:tcW w:w="1944" w:type="dxa"/>
            <w:shd w:val="clear" w:color="auto" w:fill="F5F7FA"/>
            <w:tcMar>
              <w:top w:w="90" w:type="dxa"/>
              <w:left w:w="100" w:type="dxa"/>
              <w:bottom w:w="90" w:type="dxa"/>
              <w:right w:w="100" w:type="dxa"/>
            </w:tcMar>
            <w:vAlign w:val="center"/>
          </w:tcPr>
          <w:p w14:paraId="2249576E" w14:textId="77777777" w:rsidR="009B5AA7" w:rsidRDefault="00000000">
            <w:pPr>
              <w:spacing w:after="0" w:line="240" w:lineRule="auto"/>
              <w:jc w:val="center"/>
              <w:rPr>
                <w:rFonts w:hint="eastAsia"/>
              </w:rPr>
            </w:pPr>
            <w:r>
              <w:rPr>
                <w:sz w:val="15"/>
              </w:rPr>
              <w:t>3,023</w:t>
            </w:r>
          </w:p>
        </w:tc>
        <w:tc>
          <w:tcPr>
            <w:tcW w:w="1440" w:type="dxa"/>
            <w:shd w:val="clear" w:color="auto" w:fill="F5F7FA"/>
            <w:tcMar>
              <w:top w:w="90" w:type="dxa"/>
              <w:left w:w="100" w:type="dxa"/>
              <w:bottom w:w="90" w:type="dxa"/>
              <w:right w:w="100" w:type="dxa"/>
            </w:tcMar>
            <w:vAlign w:val="center"/>
          </w:tcPr>
          <w:p w14:paraId="72ABDE11" w14:textId="77777777" w:rsidR="009B5AA7" w:rsidRDefault="00000000">
            <w:pPr>
              <w:spacing w:after="0" w:line="240" w:lineRule="auto"/>
              <w:jc w:val="center"/>
              <w:rPr>
                <w:rFonts w:hint="eastAsia"/>
              </w:rPr>
            </w:pPr>
            <w:r>
              <w:rPr>
                <w:sz w:val="15"/>
              </w:rPr>
              <w:t>91.7%</w:t>
            </w:r>
          </w:p>
        </w:tc>
        <w:tc>
          <w:tcPr>
            <w:tcW w:w="1656" w:type="dxa"/>
            <w:shd w:val="clear" w:color="auto" w:fill="F5F7FA"/>
            <w:tcMar>
              <w:top w:w="90" w:type="dxa"/>
              <w:left w:w="100" w:type="dxa"/>
              <w:bottom w:w="90" w:type="dxa"/>
              <w:right w:w="100" w:type="dxa"/>
            </w:tcMar>
            <w:vAlign w:val="center"/>
          </w:tcPr>
          <w:p w14:paraId="46731A7A" w14:textId="77777777" w:rsidR="009B5AA7" w:rsidRDefault="00000000">
            <w:pPr>
              <w:spacing w:after="0" w:line="240" w:lineRule="auto"/>
              <w:jc w:val="center"/>
              <w:rPr>
                <w:rFonts w:hint="eastAsia"/>
              </w:rPr>
            </w:pPr>
            <w:r>
              <w:rPr>
                <w:sz w:val="15"/>
              </w:rPr>
              <w:t>2,034</w:t>
            </w:r>
          </w:p>
        </w:tc>
      </w:tr>
      <w:tr w:rsidR="009B5AA7" w14:paraId="55F5F1EB" w14:textId="77777777">
        <w:trPr>
          <w:cantSplit/>
        </w:trPr>
        <w:tc>
          <w:tcPr>
            <w:tcW w:w="792" w:type="dxa"/>
            <w:tcMar>
              <w:top w:w="90" w:type="dxa"/>
              <w:left w:w="100" w:type="dxa"/>
              <w:bottom w:w="90" w:type="dxa"/>
              <w:right w:w="100" w:type="dxa"/>
            </w:tcMar>
            <w:vAlign w:val="center"/>
          </w:tcPr>
          <w:p w14:paraId="4419C4EA" w14:textId="77777777" w:rsidR="009B5AA7" w:rsidRDefault="00000000">
            <w:pPr>
              <w:spacing w:after="0" w:line="240" w:lineRule="auto"/>
              <w:jc w:val="center"/>
              <w:rPr>
                <w:rFonts w:hint="eastAsia"/>
              </w:rPr>
            </w:pPr>
            <w:r>
              <w:rPr>
                <w:sz w:val="15"/>
              </w:rPr>
              <w:t>40%</w:t>
            </w:r>
          </w:p>
        </w:tc>
        <w:tc>
          <w:tcPr>
            <w:tcW w:w="1512" w:type="dxa"/>
            <w:tcMar>
              <w:top w:w="90" w:type="dxa"/>
              <w:left w:w="100" w:type="dxa"/>
              <w:bottom w:w="90" w:type="dxa"/>
              <w:right w:w="100" w:type="dxa"/>
            </w:tcMar>
            <w:vAlign w:val="center"/>
          </w:tcPr>
          <w:p w14:paraId="2BA40ED0" w14:textId="77777777" w:rsidR="009B5AA7" w:rsidRDefault="00000000">
            <w:pPr>
              <w:spacing w:after="0" w:line="240" w:lineRule="auto"/>
              <w:jc w:val="center"/>
              <w:rPr>
                <w:rFonts w:hint="eastAsia"/>
              </w:rPr>
            </w:pPr>
            <w:r>
              <w:rPr>
                <w:sz w:val="15"/>
              </w:rPr>
              <w:t>1,118,300</w:t>
            </w:r>
          </w:p>
        </w:tc>
        <w:tc>
          <w:tcPr>
            <w:tcW w:w="1440" w:type="dxa"/>
            <w:tcMar>
              <w:top w:w="90" w:type="dxa"/>
              <w:left w:w="100" w:type="dxa"/>
              <w:bottom w:w="90" w:type="dxa"/>
              <w:right w:w="100" w:type="dxa"/>
            </w:tcMar>
            <w:vAlign w:val="center"/>
          </w:tcPr>
          <w:p w14:paraId="4FD9182E" w14:textId="77777777" w:rsidR="009B5AA7" w:rsidRDefault="00000000">
            <w:pPr>
              <w:spacing w:after="0" w:line="240" w:lineRule="auto"/>
              <w:jc w:val="center"/>
              <w:rPr>
                <w:rFonts w:hint="eastAsia"/>
              </w:rPr>
            </w:pPr>
            <w:r>
              <w:rPr>
                <w:sz w:val="15"/>
              </w:rPr>
              <w:t>0.281 pp</w:t>
            </w:r>
          </w:p>
        </w:tc>
        <w:tc>
          <w:tcPr>
            <w:tcW w:w="1944" w:type="dxa"/>
            <w:tcMar>
              <w:top w:w="90" w:type="dxa"/>
              <w:left w:w="100" w:type="dxa"/>
              <w:bottom w:w="90" w:type="dxa"/>
              <w:right w:w="100" w:type="dxa"/>
            </w:tcMar>
            <w:vAlign w:val="center"/>
          </w:tcPr>
          <w:p w14:paraId="568175A6" w14:textId="77777777" w:rsidR="009B5AA7" w:rsidRDefault="00000000">
            <w:pPr>
              <w:spacing w:after="0" w:line="240" w:lineRule="auto"/>
              <w:jc w:val="center"/>
              <w:rPr>
                <w:rFonts w:hint="eastAsia"/>
              </w:rPr>
            </w:pPr>
            <w:r>
              <w:rPr>
                <w:sz w:val="15"/>
              </w:rPr>
              <w:t>3,147</w:t>
            </w:r>
          </w:p>
        </w:tc>
        <w:tc>
          <w:tcPr>
            <w:tcW w:w="1440" w:type="dxa"/>
            <w:tcMar>
              <w:top w:w="90" w:type="dxa"/>
              <w:left w:w="100" w:type="dxa"/>
              <w:bottom w:w="90" w:type="dxa"/>
              <w:right w:w="100" w:type="dxa"/>
            </w:tcMar>
            <w:vAlign w:val="center"/>
          </w:tcPr>
          <w:p w14:paraId="3F8B5272" w14:textId="77777777" w:rsidR="009B5AA7" w:rsidRDefault="00000000">
            <w:pPr>
              <w:spacing w:after="0" w:line="240" w:lineRule="auto"/>
              <w:jc w:val="center"/>
              <w:rPr>
                <w:rFonts w:hint="eastAsia"/>
              </w:rPr>
            </w:pPr>
            <w:r>
              <w:rPr>
                <w:sz w:val="15"/>
              </w:rPr>
              <w:t>95.5%</w:t>
            </w:r>
          </w:p>
        </w:tc>
        <w:tc>
          <w:tcPr>
            <w:tcW w:w="1656" w:type="dxa"/>
            <w:tcMar>
              <w:top w:w="90" w:type="dxa"/>
              <w:left w:w="100" w:type="dxa"/>
              <w:bottom w:w="90" w:type="dxa"/>
              <w:right w:w="100" w:type="dxa"/>
            </w:tcMar>
            <w:vAlign w:val="center"/>
          </w:tcPr>
          <w:p w14:paraId="5EE6C3E4" w14:textId="77777777" w:rsidR="009B5AA7" w:rsidRDefault="00000000">
            <w:pPr>
              <w:spacing w:after="0" w:line="240" w:lineRule="auto"/>
              <w:jc w:val="center"/>
              <w:rPr>
                <w:rFonts w:hint="eastAsia"/>
              </w:rPr>
            </w:pPr>
            <w:r>
              <w:rPr>
                <w:sz w:val="15"/>
              </w:rPr>
              <w:t>1,828</w:t>
            </w:r>
          </w:p>
        </w:tc>
      </w:tr>
      <w:tr w:rsidR="009B5AA7" w14:paraId="63BF2823" w14:textId="77777777">
        <w:trPr>
          <w:cantSplit/>
        </w:trPr>
        <w:tc>
          <w:tcPr>
            <w:tcW w:w="792" w:type="dxa"/>
            <w:shd w:val="clear" w:color="auto" w:fill="F5F7FA"/>
            <w:tcMar>
              <w:top w:w="90" w:type="dxa"/>
              <w:left w:w="100" w:type="dxa"/>
              <w:bottom w:w="90" w:type="dxa"/>
              <w:right w:w="100" w:type="dxa"/>
            </w:tcMar>
            <w:vAlign w:val="center"/>
          </w:tcPr>
          <w:p w14:paraId="574EBA62" w14:textId="77777777" w:rsidR="009B5AA7" w:rsidRDefault="00000000">
            <w:pPr>
              <w:spacing w:after="0" w:line="240" w:lineRule="auto"/>
              <w:jc w:val="center"/>
              <w:rPr>
                <w:rFonts w:hint="eastAsia"/>
              </w:rPr>
            </w:pPr>
            <w:r>
              <w:rPr>
                <w:sz w:val="15"/>
              </w:rPr>
              <w:t>50%</w:t>
            </w:r>
          </w:p>
        </w:tc>
        <w:tc>
          <w:tcPr>
            <w:tcW w:w="1512" w:type="dxa"/>
            <w:shd w:val="clear" w:color="auto" w:fill="F5F7FA"/>
            <w:tcMar>
              <w:top w:w="90" w:type="dxa"/>
              <w:left w:w="100" w:type="dxa"/>
              <w:bottom w:w="90" w:type="dxa"/>
              <w:right w:w="100" w:type="dxa"/>
            </w:tcMar>
            <w:vAlign w:val="center"/>
          </w:tcPr>
          <w:p w14:paraId="02511EAB" w14:textId="77777777" w:rsidR="009B5AA7" w:rsidRDefault="00000000">
            <w:pPr>
              <w:spacing w:after="0" w:line="240" w:lineRule="auto"/>
              <w:jc w:val="center"/>
              <w:rPr>
                <w:rFonts w:hint="eastAsia"/>
              </w:rPr>
            </w:pPr>
            <w:r>
              <w:rPr>
                <w:sz w:val="15"/>
              </w:rPr>
              <w:t>1,397,875</w:t>
            </w:r>
          </w:p>
        </w:tc>
        <w:tc>
          <w:tcPr>
            <w:tcW w:w="1440" w:type="dxa"/>
            <w:shd w:val="clear" w:color="auto" w:fill="F5F7FA"/>
            <w:tcMar>
              <w:top w:w="90" w:type="dxa"/>
              <w:left w:w="100" w:type="dxa"/>
              <w:bottom w:w="90" w:type="dxa"/>
              <w:right w:w="100" w:type="dxa"/>
            </w:tcMar>
            <w:vAlign w:val="center"/>
          </w:tcPr>
          <w:p w14:paraId="7D122A29" w14:textId="77777777" w:rsidR="009B5AA7" w:rsidRDefault="00000000">
            <w:pPr>
              <w:spacing w:after="0" w:line="240" w:lineRule="auto"/>
              <w:jc w:val="center"/>
              <w:rPr>
                <w:rFonts w:hint="eastAsia"/>
              </w:rPr>
            </w:pPr>
            <w:r>
              <w:rPr>
                <w:sz w:val="15"/>
              </w:rPr>
              <w:t>0.230 pp</w:t>
            </w:r>
          </w:p>
        </w:tc>
        <w:tc>
          <w:tcPr>
            <w:tcW w:w="1944" w:type="dxa"/>
            <w:shd w:val="clear" w:color="auto" w:fill="F5F7FA"/>
            <w:tcMar>
              <w:top w:w="90" w:type="dxa"/>
              <w:left w:w="100" w:type="dxa"/>
              <w:bottom w:w="90" w:type="dxa"/>
              <w:right w:w="100" w:type="dxa"/>
            </w:tcMar>
            <w:vAlign w:val="center"/>
          </w:tcPr>
          <w:p w14:paraId="3CE84EE6" w14:textId="77777777" w:rsidR="009B5AA7" w:rsidRDefault="00000000">
            <w:pPr>
              <w:spacing w:after="0" w:line="240" w:lineRule="auto"/>
              <w:jc w:val="center"/>
              <w:rPr>
                <w:rFonts w:hint="eastAsia"/>
              </w:rPr>
            </w:pPr>
            <w:r>
              <w:rPr>
                <w:sz w:val="15"/>
              </w:rPr>
              <w:t>3,217</w:t>
            </w:r>
          </w:p>
        </w:tc>
        <w:tc>
          <w:tcPr>
            <w:tcW w:w="1440" w:type="dxa"/>
            <w:shd w:val="clear" w:color="auto" w:fill="F5F7FA"/>
            <w:tcMar>
              <w:top w:w="90" w:type="dxa"/>
              <w:left w:w="100" w:type="dxa"/>
              <w:bottom w:w="90" w:type="dxa"/>
              <w:right w:w="100" w:type="dxa"/>
            </w:tcMar>
            <w:vAlign w:val="center"/>
          </w:tcPr>
          <w:p w14:paraId="37279C74" w14:textId="77777777" w:rsidR="009B5AA7" w:rsidRDefault="00000000">
            <w:pPr>
              <w:spacing w:after="0" w:line="240" w:lineRule="auto"/>
              <w:jc w:val="center"/>
              <w:rPr>
                <w:rFonts w:hint="eastAsia"/>
              </w:rPr>
            </w:pPr>
            <w:r>
              <w:rPr>
                <w:sz w:val="15"/>
              </w:rPr>
              <w:t>97.6%</w:t>
            </w:r>
          </w:p>
        </w:tc>
        <w:tc>
          <w:tcPr>
            <w:tcW w:w="1656" w:type="dxa"/>
            <w:shd w:val="clear" w:color="auto" w:fill="F5F7FA"/>
            <w:tcMar>
              <w:top w:w="90" w:type="dxa"/>
              <w:left w:w="100" w:type="dxa"/>
              <w:bottom w:w="90" w:type="dxa"/>
              <w:right w:w="100" w:type="dxa"/>
            </w:tcMar>
            <w:vAlign w:val="center"/>
          </w:tcPr>
          <w:p w14:paraId="05A9F240" w14:textId="77777777" w:rsidR="009B5AA7" w:rsidRDefault="00000000">
            <w:pPr>
              <w:spacing w:after="0" w:line="240" w:lineRule="auto"/>
              <w:jc w:val="center"/>
              <w:rPr>
                <w:rFonts w:hint="eastAsia"/>
              </w:rPr>
            </w:pPr>
            <w:r>
              <w:rPr>
                <w:sz w:val="15"/>
              </w:rPr>
              <w:t>1,569</w:t>
            </w:r>
          </w:p>
        </w:tc>
      </w:tr>
      <w:tr w:rsidR="009B5AA7" w14:paraId="6E9B6B94" w14:textId="77777777">
        <w:trPr>
          <w:cantSplit/>
        </w:trPr>
        <w:tc>
          <w:tcPr>
            <w:tcW w:w="792" w:type="dxa"/>
            <w:tcMar>
              <w:top w:w="90" w:type="dxa"/>
              <w:left w:w="100" w:type="dxa"/>
              <w:bottom w:w="90" w:type="dxa"/>
              <w:right w:w="100" w:type="dxa"/>
            </w:tcMar>
            <w:vAlign w:val="center"/>
          </w:tcPr>
          <w:p w14:paraId="3773AAF8" w14:textId="77777777" w:rsidR="009B5AA7" w:rsidRDefault="00000000">
            <w:pPr>
              <w:spacing w:after="0" w:line="240" w:lineRule="auto"/>
              <w:jc w:val="center"/>
              <w:rPr>
                <w:rFonts w:hint="eastAsia"/>
              </w:rPr>
            </w:pPr>
            <w:r>
              <w:rPr>
                <w:sz w:val="15"/>
              </w:rPr>
              <w:t>75%</w:t>
            </w:r>
          </w:p>
        </w:tc>
        <w:tc>
          <w:tcPr>
            <w:tcW w:w="1512" w:type="dxa"/>
            <w:tcMar>
              <w:top w:w="90" w:type="dxa"/>
              <w:left w:w="100" w:type="dxa"/>
              <w:bottom w:w="90" w:type="dxa"/>
              <w:right w:w="100" w:type="dxa"/>
            </w:tcMar>
            <w:vAlign w:val="center"/>
          </w:tcPr>
          <w:p w14:paraId="6B72C747" w14:textId="77777777" w:rsidR="009B5AA7" w:rsidRDefault="00000000">
            <w:pPr>
              <w:spacing w:after="0" w:line="240" w:lineRule="auto"/>
              <w:jc w:val="center"/>
              <w:rPr>
                <w:rFonts w:hint="eastAsia"/>
              </w:rPr>
            </w:pPr>
            <w:r>
              <w:rPr>
                <w:sz w:val="15"/>
              </w:rPr>
              <w:t>2,096,812</w:t>
            </w:r>
          </w:p>
        </w:tc>
        <w:tc>
          <w:tcPr>
            <w:tcW w:w="1440" w:type="dxa"/>
            <w:tcMar>
              <w:top w:w="90" w:type="dxa"/>
              <w:left w:w="100" w:type="dxa"/>
              <w:bottom w:w="90" w:type="dxa"/>
              <w:right w:w="100" w:type="dxa"/>
            </w:tcMar>
            <w:vAlign w:val="center"/>
          </w:tcPr>
          <w:p w14:paraId="2D53F12B" w14:textId="77777777" w:rsidR="009B5AA7" w:rsidRDefault="00000000">
            <w:pPr>
              <w:spacing w:after="0" w:line="240" w:lineRule="auto"/>
              <w:jc w:val="center"/>
              <w:rPr>
                <w:rFonts w:hint="eastAsia"/>
              </w:rPr>
            </w:pPr>
            <w:r>
              <w:rPr>
                <w:sz w:val="15"/>
              </w:rPr>
              <w:t>0.157 pp</w:t>
            </w:r>
          </w:p>
        </w:tc>
        <w:tc>
          <w:tcPr>
            <w:tcW w:w="1944" w:type="dxa"/>
            <w:tcMar>
              <w:top w:w="90" w:type="dxa"/>
              <w:left w:w="100" w:type="dxa"/>
              <w:bottom w:w="90" w:type="dxa"/>
              <w:right w:w="100" w:type="dxa"/>
            </w:tcMar>
            <w:vAlign w:val="center"/>
          </w:tcPr>
          <w:p w14:paraId="0857DA90" w14:textId="77777777" w:rsidR="009B5AA7" w:rsidRDefault="00000000">
            <w:pPr>
              <w:spacing w:after="0" w:line="240" w:lineRule="auto"/>
              <w:jc w:val="center"/>
              <w:rPr>
                <w:rFonts w:hint="eastAsia"/>
              </w:rPr>
            </w:pPr>
            <w:r>
              <w:rPr>
                <w:sz w:val="15"/>
              </w:rPr>
              <w:t>3,283</w:t>
            </w:r>
          </w:p>
        </w:tc>
        <w:tc>
          <w:tcPr>
            <w:tcW w:w="1440" w:type="dxa"/>
            <w:tcMar>
              <w:top w:w="90" w:type="dxa"/>
              <w:left w:w="100" w:type="dxa"/>
              <w:bottom w:w="90" w:type="dxa"/>
              <w:right w:w="100" w:type="dxa"/>
            </w:tcMar>
            <w:vAlign w:val="center"/>
          </w:tcPr>
          <w:p w14:paraId="2D6874EB" w14:textId="77777777" w:rsidR="009B5AA7" w:rsidRDefault="00000000">
            <w:pPr>
              <w:spacing w:after="0" w:line="240" w:lineRule="auto"/>
              <w:jc w:val="center"/>
              <w:rPr>
                <w:rFonts w:hint="eastAsia"/>
              </w:rPr>
            </w:pPr>
            <w:r>
              <w:rPr>
                <w:sz w:val="15"/>
              </w:rPr>
              <w:t>99.6%</w:t>
            </w:r>
          </w:p>
        </w:tc>
        <w:tc>
          <w:tcPr>
            <w:tcW w:w="1656" w:type="dxa"/>
            <w:tcMar>
              <w:top w:w="90" w:type="dxa"/>
              <w:left w:w="100" w:type="dxa"/>
              <w:bottom w:w="90" w:type="dxa"/>
              <w:right w:w="100" w:type="dxa"/>
            </w:tcMar>
            <w:vAlign w:val="center"/>
          </w:tcPr>
          <w:p w14:paraId="1B5A3477" w14:textId="77777777" w:rsidR="009B5AA7" w:rsidRDefault="00000000">
            <w:pPr>
              <w:spacing w:after="0" w:line="240" w:lineRule="auto"/>
              <w:jc w:val="center"/>
              <w:rPr>
                <w:rFonts w:hint="eastAsia"/>
              </w:rPr>
            </w:pPr>
            <w:r>
              <w:rPr>
                <w:sz w:val="15"/>
              </w:rPr>
              <w:t>810</w:t>
            </w:r>
          </w:p>
        </w:tc>
      </w:tr>
      <w:tr w:rsidR="009B5AA7" w14:paraId="1D371451" w14:textId="77777777">
        <w:trPr>
          <w:cantSplit/>
        </w:trPr>
        <w:tc>
          <w:tcPr>
            <w:tcW w:w="792" w:type="dxa"/>
            <w:shd w:val="clear" w:color="auto" w:fill="F5F7FA"/>
            <w:tcMar>
              <w:top w:w="90" w:type="dxa"/>
              <w:left w:w="100" w:type="dxa"/>
              <w:bottom w:w="90" w:type="dxa"/>
              <w:right w:w="100" w:type="dxa"/>
            </w:tcMar>
            <w:vAlign w:val="center"/>
          </w:tcPr>
          <w:p w14:paraId="5B7B0F5D" w14:textId="77777777" w:rsidR="009B5AA7" w:rsidRDefault="00000000">
            <w:pPr>
              <w:spacing w:after="0" w:line="240" w:lineRule="auto"/>
              <w:jc w:val="center"/>
              <w:rPr>
                <w:rFonts w:hint="eastAsia"/>
              </w:rPr>
            </w:pPr>
            <w:r>
              <w:rPr>
                <w:sz w:val="15"/>
              </w:rPr>
              <w:t>100%</w:t>
            </w:r>
          </w:p>
        </w:tc>
        <w:tc>
          <w:tcPr>
            <w:tcW w:w="1512" w:type="dxa"/>
            <w:shd w:val="clear" w:color="auto" w:fill="F5F7FA"/>
            <w:tcMar>
              <w:top w:w="90" w:type="dxa"/>
              <w:left w:w="100" w:type="dxa"/>
              <w:bottom w:w="90" w:type="dxa"/>
              <w:right w:w="100" w:type="dxa"/>
            </w:tcMar>
            <w:vAlign w:val="center"/>
          </w:tcPr>
          <w:p w14:paraId="1B0953B4" w14:textId="77777777" w:rsidR="009B5AA7" w:rsidRDefault="00000000">
            <w:pPr>
              <w:spacing w:after="0" w:line="240" w:lineRule="auto"/>
              <w:jc w:val="center"/>
              <w:rPr>
                <w:rFonts w:hint="eastAsia"/>
              </w:rPr>
            </w:pPr>
            <w:r>
              <w:rPr>
                <w:sz w:val="15"/>
              </w:rPr>
              <w:t>2,795,749</w:t>
            </w:r>
          </w:p>
        </w:tc>
        <w:tc>
          <w:tcPr>
            <w:tcW w:w="1440" w:type="dxa"/>
            <w:shd w:val="clear" w:color="auto" w:fill="F5F7FA"/>
            <w:tcMar>
              <w:top w:w="90" w:type="dxa"/>
              <w:left w:w="100" w:type="dxa"/>
              <w:bottom w:w="90" w:type="dxa"/>
              <w:right w:w="100" w:type="dxa"/>
            </w:tcMar>
            <w:vAlign w:val="center"/>
          </w:tcPr>
          <w:p w14:paraId="4FDCEFF7" w14:textId="77777777" w:rsidR="009B5AA7" w:rsidRDefault="00000000">
            <w:pPr>
              <w:spacing w:after="0" w:line="240" w:lineRule="auto"/>
              <w:jc w:val="center"/>
              <w:rPr>
                <w:rFonts w:hint="eastAsia"/>
              </w:rPr>
            </w:pPr>
            <w:r>
              <w:rPr>
                <w:sz w:val="15"/>
              </w:rPr>
              <w:t>0.118 pp</w:t>
            </w:r>
          </w:p>
        </w:tc>
        <w:tc>
          <w:tcPr>
            <w:tcW w:w="1944" w:type="dxa"/>
            <w:shd w:val="clear" w:color="auto" w:fill="F5F7FA"/>
            <w:tcMar>
              <w:top w:w="90" w:type="dxa"/>
              <w:left w:w="100" w:type="dxa"/>
              <w:bottom w:w="90" w:type="dxa"/>
              <w:right w:w="100" w:type="dxa"/>
            </w:tcMar>
            <w:vAlign w:val="center"/>
          </w:tcPr>
          <w:p w14:paraId="69EEACD2" w14:textId="77777777" w:rsidR="009B5AA7" w:rsidRDefault="00000000">
            <w:pPr>
              <w:spacing w:after="0" w:line="240" w:lineRule="auto"/>
              <w:jc w:val="center"/>
              <w:rPr>
                <w:rFonts w:hint="eastAsia"/>
              </w:rPr>
            </w:pPr>
            <w:r>
              <w:rPr>
                <w:sz w:val="15"/>
              </w:rPr>
              <w:t>3,296</w:t>
            </w:r>
          </w:p>
        </w:tc>
        <w:tc>
          <w:tcPr>
            <w:tcW w:w="1440" w:type="dxa"/>
            <w:shd w:val="clear" w:color="auto" w:fill="F5F7FA"/>
            <w:tcMar>
              <w:top w:w="90" w:type="dxa"/>
              <w:left w:w="100" w:type="dxa"/>
              <w:bottom w:w="90" w:type="dxa"/>
              <w:right w:w="100" w:type="dxa"/>
            </w:tcMar>
            <w:vAlign w:val="center"/>
          </w:tcPr>
          <w:p w14:paraId="0468E92E" w14:textId="77777777" w:rsidR="009B5AA7" w:rsidRDefault="00000000">
            <w:pPr>
              <w:spacing w:after="0" w:line="240" w:lineRule="auto"/>
              <w:jc w:val="center"/>
              <w:rPr>
                <w:rFonts w:hint="eastAsia"/>
              </w:rPr>
            </w:pPr>
            <w:r>
              <w:rPr>
                <w:sz w:val="15"/>
              </w:rPr>
              <w:t>100.0%</w:t>
            </w:r>
          </w:p>
        </w:tc>
        <w:tc>
          <w:tcPr>
            <w:tcW w:w="1656" w:type="dxa"/>
            <w:shd w:val="clear" w:color="auto" w:fill="F5F7FA"/>
            <w:tcMar>
              <w:top w:w="90" w:type="dxa"/>
              <w:left w:w="100" w:type="dxa"/>
              <w:bottom w:w="90" w:type="dxa"/>
              <w:right w:w="100" w:type="dxa"/>
            </w:tcMar>
            <w:vAlign w:val="center"/>
          </w:tcPr>
          <w:p w14:paraId="47C64AF9" w14:textId="77777777" w:rsidR="009B5AA7" w:rsidRDefault="00000000">
            <w:pPr>
              <w:spacing w:after="0" w:line="240" w:lineRule="auto"/>
              <w:jc w:val="center"/>
              <w:rPr>
                <w:rFonts w:hint="eastAsia"/>
              </w:rPr>
            </w:pPr>
            <w:r>
              <w:rPr>
                <w:sz w:val="15"/>
              </w:rPr>
              <w:t>0</w:t>
            </w:r>
          </w:p>
        </w:tc>
      </w:tr>
    </w:tbl>
    <w:p w14:paraId="65132371" w14:textId="77777777" w:rsidR="009B5AA7" w:rsidRDefault="009B5AA7">
      <w:pPr>
        <w:spacing w:after="0"/>
        <w:rPr>
          <w:rFonts w:hint="eastAsia"/>
        </w:rPr>
      </w:pPr>
    </w:p>
    <w:p w14:paraId="2A4392D9" w14:textId="77777777" w:rsidR="009B5AA7" w:rsidRDefault="00000000">
      <w:pPr>
        <w:rPr>
          <w:rFonts w:hint="eastAsia"/>
        </w:rPr>
      </w:pPr>
      <w:r>
        <w:t>Response propensity is shown because it is the supported Conversion ranking. Its concentration of incremental conversions among high-response records does not establish that an uplift learner improves Conversion targeting.</w:t>
      </w:r>
    </w:p>
    <w:p w14:paraId="7D655EC7" w14:textId="77777777" w:rsidR="009B5AA7" w:rsidRDefault="00000000">
      <w:pPr>
        <w:pStyle w:val="af7"/>
        <w:keepNext/>
        <w:jc w:val="center"/>
        <w:rPr>
          <w:rFonts w:hint="eastAsia"/>
        </w:rPr>
      </w:pPr>
      <w:r>
        <w:t>Figure 6  Conversion targeting outcomes at the main budget levels</w:t>
      </w:r>
    </w:p>
    <w:p w14:paraId="34F1F13A" w14:textId="77777777" w:rsidR="009B5AA7" w:rsidRDefault="00000000">
      <w:pPr>
        <w:keepLines/>
        <w:spacing w:after="200"/>
        <w:jc w:val="center"/>
        <w:rPr>
          <w:rFonts w:hint="eastAsia"/>
        </w:rPr>
      </w:pPr>
      <w:r>
        <w:rPr>
          <w:noProof/>
        </w:rPr>
        <w:drawing>
          <wp:inline distT="0" distB="0" distL="0" distR="0" wp14:anchorId="492CC82F" wp14:editId="560882DF">
            <wp:extent cx="5852160" cy="23408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ersion_targeting_comparison.png"/>
                    <pic:cNvPicPr/>
                  </pic:nvPicPr>
                  <pic:blipFill>
                    <a:blip r:embed="rId13"/>
                    <a:stretch>
                      <a:fillRect/>
                    </a:stretch>
                  </pic:blipFill>
                  <pic:spPr>
                    <a:xfrm>
                      <a:off x="0" y="0"/>
                      <a:ext cx="5852160" cy="2340864"/>
                    </a:xfrm>
                    <a:prstGeom prst="rect">
                      <a:avLst/>
                    </a:prstGeom>
                  </pic:spPr>
                </pic:pic>
              </a:graphicData>
            </a:graphic>
          </wp:inline>
        </w:drawing>
      </w:r>
    </w:p>
    <w:p w14:paraId="40C01E5A" w14:textId="77777777" w:rsidR="009B5AA7" w:rsidRDefault="00000000">
      <w:pPr>
        <w:rPr>
          <w:rFonts w:hint="eastAsia"/>
        </w:rPr>
      </w:pPr>
      <w:r>
        <w:br w:type="page"/>
      </w:r>
    </w:p>
    <w:p w14:paraId="25594C32" w14:textId="77777777" w:rsidR="009B5AA7" w:rsidRDefault="00000000">
      <w:pPr>
        <w:pStyle w:val="21"/>
      </w:pPr>
      <w:r>
        <w:lastRenderedPageBreak/>
        <w:t>Direct comparison with response targeting</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80"/>
        <w:gridCol w:w="1224"/>
        <w:gridCol w:w="792"/>
        <w:gridCol w:w="1152"/>
        <w:gridCol w:w="1656"/>
        <w:gridCol w:w="2232"/>
      </w:tblGrid>
      <w:tr w:rsidR="009B5AA7" w14:paraId="713C9893" w14:textId="77777777">
        <w:trPr>
          <w:tblHeader/>
        </w:trPr>
        <w:tc>
          <w:tcPr>
            <w:tcW w:w="1080" w:type="dxa"/>
            <w:shd w:val="clear" w:color="auto" w:fill="17365D"/>
            <w:tcMar>
              <w:top w:w="110" w:type="dxa"/>
              <w:left w:w="100" w:type="dxa"/>
              <w:bottom w:w="110" w:type="dxa"/>
              <w:right w:w="100" w:type="dxa"/>
            </w:tcMar>
            <w:vAlign w:val="center"/>
          </w:tcPr>
          <w:p w14:paraId="6DCCEA69" w14:textId="77777777" w:rsidR="009B5AA7" w:rsidRDefault="00000000">
            <w:pPr>
              <w:spacing w:after="0"/>
              <w:jc w:val="center"/>
              <w:rPr>
                <w:rFonts w:hint="eastAsia"/>
              </w:rPr>
            </w:pPr>
            <w:r>
              <w:rPr>
                <w:b/>
                <w:color w:val="FFFFFF"/>
                <w:sz w:val="15"/>
              </w:rPr>
              <w:t>Outcome</w:t>
            </w:r>
          </w:p>
        </w:tc>
        <w:tc>
          <w:tcPr>
            <w:tcW w:w="1224" w:type="dxa"/>
            <w:shd w:val="clear" w:color="auto" w:fill="17365D"/>
            <w:tcMar>
              <w:top w:w="110" w:type="dxa"/>
              <w:left w:w="100" w:type="dxa"/>
              <w:bottom w:w="110" w:type="dxa"/>
              <w:right w:w="100" w:type="dxa"/>
            </w:tcMar>
            <w:vAlign w:val="center"/>
          </w:tcPr>
          <w:p w14:paraId="6949AC96" w14:textId="77777777" w:rsidR="009B5AA7" w:rsidRDefault="00000000">
            <w:pPr>
              <w:spacing w:after="0"/>
              <w:jc w:val="center"/>
              <w:rPr>
                <w:rFonts w:hint="eastAsia"/>
              </w:rPr>
            </w:pPr>
            <w:r>
              <w:rPr>
                <w:b/>
                <w:color w:val="FFFFFF"/>
                <w:sz w:val="15"/>
              </w:rPr>
              <w:t>Uplift model</w:t>
            </w:r>
          </w:p>
        </w:tc>
        <w:tc>
          <w:tcPr>
            <w:tcW w:w="792" w:type="dxa"/>
            <w:shd w:val="clear" w:color="auto" w:fill="17365D"/>
            <w:tcMar>
              <w:top w:w="110" w:type="dxa"/>
              <w:left w:w="100" w:type="dxa"/>
              <w:bottom w:w="110" w:type="dxa"/>
              <w:right w:w="100" w:type="dxa"/>
            </w:tcMar>
            <w:vAlign w:val="center"/>
          </w:tcPr>
          <w:p w14:paraId="4A6EECA7" w14:textId="77777777" w:rsidR="009B5AA7" w:rsidRDefault="00000000">
            <w:pPr>
              <w:spacing w:after="0"/>
              <w:jc w:val="center"/>
              <w:rPr>
                <w:rFonts w:hint="eastAsia"/>
              </w:rPr>
            </w:pPr>
            <w:r>
              <w:rPr>
                <w:b/>
                <w:color w:val="FFFFFF"/>
                <w:sz w:val="15"/>
              </w:rPr>
              <w:t>Target</w:t>
            </w:r>
          </w:p>
        </w:tc>
        <w:tc>
          <w:tcPr>
            <w:tcW w:w="1152" w:type="dxa"/>
            <w:shd w:val="clear" w:color="auto" w:fill="17365D"/>
            <w:tcMar>
              <w:top w:w="110" w:type="dxa"/>
              <w:left w:w="100" w:type="dxa"/>
              <w:bottom w:w="110" w:type="dxa"/>
              <w:right w:w="100" w:type="dxa"/>
            </w:tcMar>
            <w:vAlign w:val="center"/>
          </w:tcPr>
          <w:p w14:paraId="1C79ADAB" w14:textId="77777777" w:rsidR="009B5AA7" w:rsidRDefault="00000000">
            <w:pPr>
              <w:spacing w:after="0"/>
              <w:jc w:val="center"/>
              <w:rPr>
                <w:rFonts w:hint="eastAsia"/>
              </w:rPr>
            </w:pPr>
            <w:r>
              <w:rPr>
                <w:b/>
                <w:color w:val="FFFFFF"/>
                <w:sz w:val="15"/>
              </w:rPr>
              <w:t>Difference</w:t>
            </w:r>
          </w:p>
        </w:tc>
        <w:tc>
          <w:tcPr>
            <w:tcW w:w="1656" w:type="dxa"/>
            <w:shd w:val="clear" w:color="auto" w:fill="17365D"/>
            <w:tcMar>
              <w:top w:w="110" w:type="dxa"/>
              <w:left w:w="100" w:type="dxa"/>
              <w:bottom w:w="110" w:type="dxa"/>
              <w:right w:w="100" w:type="dxa"/>
            </w:tcMar>
            <w:vAlign w:val="center"/>
          </w:tcPr>
          <w:p w14:paraId="03083B49" w14:textId="77777777" w:rsidR="009B5AA7" w:rsidRDefault="00000000">
            <w:pPr>
              <w:spacing w:after="0"/>
              <w:jc w:val="center"/>
              <w:rPr>
                <w:rFonts w:hint="eastAsia"/>
              </w:rPr>
            </w:pPr>
            <w:r>
              <w:rPr>
                <w:b/>
                <w:color w:val="FFFFFF"/>
                <w:sz w:val="15"/>
              </w:rPr>
              <w:t>Paired 95% interval</w:t>
            </w:r>
          </w:p>
        </w:tc>
        <w:tc>
          <w:tcPr>
            <w:tcW w:w="2232" w:type="dxa"/>
            <w:shd w:val="clear" w:color="auto" w:fill="17365D"/>
            <w:tcMar>
              <w:top w:w="110" w:type="dxa"/>
              <w:left w:w="100" w:type="dxa"/>
              <w:bottom w:w="110" w:type="dxa"/>
              <w:right w:w="100" w:type="dxa"/>
            </w:tcMar>
            <w:vAlign w:val="center"/>
          </w:tcPr>
          <w:p w14:paraId="6DD721E7" w14:textId="77777777" w:rsidR="009B5AA7" w:rsidRDefault="00000000">
            <w:pPr>
              <w:spacing w:after="0"/>
              <w:jc w:val="center"/>
              <w:rPr>
                <w:rFonts w:hint="eastAsia"/>
              </w:rPr>
            </w:pPr>
            <w:r>
              <w:rPr>
                <w:b/>
                <w:color w:val="FFFFFF"/>
                <w:sz w:val="15"/>
              </w:rPr>
              <w:t>Interpretation</w:t>
            </w:r>
          </w:p>
        </w:tc>
      </w:tr>
      <w:tr w:rsidR="009B5AA7" w14:paraId="4BEDAB2F" w14:textId="77777777">
        <w:trPr>
          <w:cantSplit/>
        </w:trPr>
        <w:tc>
          <w:tcPr>
            <w:tcW w:w="1080" w:type="dxa"/>
            <w:tcMar>
              <w:top w:w="90" w:type="dxa"/>
              <w:left w:w="100" w:type="dxa"/>
              <w:bottom w:w="90" w:type="dxa"/>
              <w:right w:w="100" w:type="dxa"/>
            </w:tcMar>
            <w:vAlign w:val="center"/>
          </w:tcPr>
          <w:p w14:paraId="3CB62156" w14:textId="77777777" w:rsidR="009B5AA7" w:rsidRDefault="00000000">
            <w:pPr>
              <w:spacing w:after="0" w:line="240" w:lineRule="auto"/>
              <w:rPr>
                <w:rFonts w:hint="eastAsia"/>
              </w:rPr>
            </w:pPr>
            <w:r>
              <w:rPr>
                <w:sz w:val="15"/>
              </w:rPr>
              <w:t>Visit</w:t>
            </w:r>
          </w:p>
        </w:tc>
        <w:tc>
          <w:tcPr>
            <w:tcW w:w="1224" w:type="dxa"/>
            <w:tcMar>
              <w:top w:w="90" w:type="dxa"/>
              <w:left w:w="100" w:type="dxa"/>
              <w:bottom w:w="90" w:type="dxa"/>
              <w:right w:w="100" w:type="dxa"/>
            </w:tcMar>
            <w:vAlign w:val="center"/>
          </w:tcPr>
          <w:p w14:paraId="3229A34E" w14:textId="77777777" w:rsidR="009B5AA7" w:rsidRDefault="00000000">
            <w:pPr>
              <w:spacing w:after="0" w:line="240" w:lineRule="auto"/>
              <w:rPr>
                <w:rFonts w:hint="eastAsia"/>
              </w:rPr>
            </w:pPr>
            <w:r>
              <w:rPr>
                <w:sz w:val="15"/>
              </w:rPr>
              <w:t>S-Learner</w:t>
            </w:r>
          </w:p>
        </w:tc>
        <w:tc>
          <w:tcPr>
            <w:tcW w:w="792" w:type="dxa"/>
            <w:tcMar>
              <w:top w:w="90" w:type="dxa"/>
              <w:left w:w="100" w:type="dxa"/>
              <w:bottom w:w="90" w:type="dxa"/>
              <w:right w:w="100" w:type="dxa"/>
            </w:tcMar>
            <w:vAlign w:val="center"/>
          </w:tcPr>
          <w:p w14:paraId="026AB09F" w14:textId="77777777" w:rsidR="009B5AA7" w:rsidRDefault="00000000">
            <w:pPr>
              <w:spacing w:after="0" w:line="240" w:lineRule="auto"/>
              <w:jc w:val="center"/>
              <w:rPr>
                <w:rFonts w:hint="eastAsia"/>
              </w:rPr>
            </w:pPr>
            <w:r>
              <w:rPr>
                <w:sz w:val="15"/>
              </w:rPr>
              <w:t>5%</w:t>
            </w:r>
          </w:p>
        </w:tc>
        <w:tc>
          <w:tcPr>
            <w:tcW w:w="1152" w:type="dxa"/>
            <w:tcMar>
              <w:top w:w="90" w:type="dxa"/>
              <w:left w:w="100" w:type="dxa"/>
              <w:bottom w:w="90" w:type="dxa"/>
              <w:right w:w="100" w:type="dxa"/>
            </w:tcMar>
            <w:vAlign w:val="center"/>
          </w:tcPr>
          <w:p w14:paraId="5206699A" w14:textId="77777777" w:rsidR="009B5AA7" w:rsidRDefault="00000000">
            <w:pPr>
              <w:spacing w:after="0" w:line="240" w:lineRule="auto"/>
              <w:jc w:val="right"/>
              <w:rPr>
                <w:rFonts w:hint="eastAsia"/>
              </w:rPr>
            </w:pPr>
            <w:r>
              <w:rPr>
                <w:sz w:val="15"/>
              </w:rPr>
              <w:t>+5,400</w:t>
            </w:r>
          </w:p>
        </w:tc>
        <w:tc>
          <w:tcPr>
            <w:tcW w:w="1656" w:type="dxa"/>
            <w:tcMar>
              <w:top w:w="90" w:type="dxa"/>
              <w:left w:w="100" w:type="dxa"/>
              <w:bottom w:w="90" w:type="dxa"/>
              <w:right w:w="100" w:type="dxa"/>
            </w:tcMar>
            <w:vAlign w:val="center"/>
          </w:tcPr>
          <w:p w14:paraId="5B0E085F" w14:textId="77777777" w:rsidR="009B5AA7" w:rsidRDefault="00000000">
            <w:pPr>
              <w:spacing w:after="0" w:line="240" w:lineRule="auto"/>
              <w:jc w:val="center"/>
              <w:rPr>
                <w:rFonts w:hint="eastAsia"/>
              </w:rPr>
            </w:pPr>
            <w:r>
              <w:rPr>
                <w:sz w:val="15"/>
              </w:rPr>
              <w:t>4,400 to 6,452</w:t>
            </w:r>
          </w:p>
        </w:tc>
        <w:tc>
          <w:tcPr>
            <w:tcW w:w="2232" w:type="dxa"/>
            <w:tcMar>
              <w:top w:w="90" w:type="dxa"/>
              <w:left w:w="100" w:type="dxa"/>
              <w:bottom w:w="90" w:type="dxa"/>
              <w:right w:w="100" w:type="dxa"/>
            </w:tcMar>
            <w:vAlign w:val="center"/>
          </w:tcPr>
          <w:p w14:paraId="446403AC" w14:textId="77777777" w:rsidR="009B5AA7" w:rsidRDefault="00000000">
            <w:pPr>
              <w:spacing w:after="0" w:line="240" w:lineRule="auto"/>
              <w:rPr>
                <w:rFonts w:hint="eastAsia"/>
              </w:rPr>
            </w:pPr>
            <w:r>
              <w:rPr>
                <w:sz w:val="15"/>
              </w:rPr>
              <w:t>Clear uplift advantage</w:t>
            </w:r>
          </w:p>
        </w:tc>
      </w:tr>
      <w:tr w:rsidR="009B5AA7" w14:paraId="6B3B1DE9" w14:textId="77777777">
        <w:trPr>
          <w:cantSplit/>
        </w:trPr>
        <w:tc>
          <w:tcPr>
            <w:tcW w:w="1080" w:type="dxa"/>
            <w:shd w:val="clear" w:color="auto" w:fill="F5F7FA"/>
            <w:tcMar>
              <w:top w:w="90" w:type="dxa"/>
              <w:left w:w="100" w:type="dxa"/>
              <w:bottom w:w="90" w:type="dxa"/>
              <w:right w:w="100" w:type="dxa"/>
            </w:tcMar>
            <w:vAlign w:val="center"/>
          </w:tcPr>
          <w:p w14:paraId="77CD11C6" w14:textId="77777777" w:rsidR="009B5AA7" w:rsidRDefault="00000000">
            <w:pPr>
              <w:spacing w:after="0" w:line="240" w:lineRule="auto"/>
              <w:rPr>
                <w:rFonts w:hint="eastAsia"/>
              </w:rPr>
            </w:pPr>
            <w:r>
              <w:rPr>
                <w:sz w:val="15"/>
              </w:rPr>
              <w:t>Visit</w:t>
            </w:r>
          </w:p>
        </w:tc>
        <w:tc>
          <w:tcPr>
            <w:tcW w:w="1224" w:type="dxa"/>
            <w:shd w:val="clear" w:color="auto" w:fill="F5F7FA"/>
            <w:tcMar>
              <w:top w:w="90" w:type="dxa"/>
              <w:left w:w="100" w:type="dxa"/>
              <w:bottom w:w="90" w:type="dxa"/>
              <w:right w:w="100" w:type="dxa"/>
            </w:tcMar>
            <w:vAlign w:val="center"/>
          </w:tcPr>
          <w:p w14:paraId="112FC1C2" w14:textId="77777777" w:rsidR="009B5AA7" w:rsidRDefault="00000000">
            <w:pPr>
              <w:spacing w:after="0" w:line="240" w:lineRule="auto"/>
              <w:rPr>
                <w:rFonts w:hint="eastAsia"/>
              </w:rPr>
            </w:pPr>
            <w:r>
              <w:rPr>
                <w:sz w:val="15"/>
              </w:rPr>
              <w:t>S-Learner</w:t>
            </w:r>
          </w:p>
        </w:tc>
        <w:tc>
          <w:tcPr>
            <w:tcW w:w="792" w:type="dxa"/>
            <w:shd w:val="clear" w:color="auto" w:fill="F5F7FA"/>
            <w:tcMar>
              <w:top w:w="90" w:type="dxa"/>
              <w:left w:w="100" w:type="dxa"/>
              <w:bottom w:w="90" w:type="dxa"/>
              <w:right w:w="100" w:type="dxa"/>
            </w:tcMar>
            <w:vAlign w:val="center"/>
          </w:tcPr>
          <w:p w14:paraId="7028E772" w14:textId="77777777" w:rsidR="009B5AA7" w:rsidRDefault="00000000">
            <w:pPr>
              <w:spacing w:after="0" w:line="240" w:lineRule="auto"/>
              <w:jc w:val="center"/>
              <w:rPr>
                <w:rFonts w:hint="eastAsia"/>
              </w:rPr>
            </w:pPr>
            <w:r>
              <w:rPr>
                <w:sz w:val="15"/>
              </w:rPr>
              <w:t>10%</w:t>
            </w:r>
          </w:p>
        </w:tc>
        <w:tc>
          <w:tcPr>
            <w:tcW w:w="1152" w:type="dxa"/>
            <w:shd w:val="clear" w:color="auto" w:fill="F5F7FA"/>
            <w:tcMar>
              <w:top w:w="90" w:type="dxa"/>
              <w:left w:w="100" w:type="dxa"/>
              <w:bottom w:w="90" w:type="dxa"/>
              <w:right w:w="100" w:type="dxa"/>
            </w:tcMar>
            <w:vAlign w:val="center"/>
          </w:tcPr>
          <w:p w14:paraId="6C43F48D" w14:textId="77777777" w:rsidR="009B5AA7" w:rsidRDefault="00000000">
            <w:pPr>
              <w:spacing w:after="0" w:line="240" w:lineRule="auto"/>
              <w:jc w:val="right"/>
              <w:rPr>
                <w:rFonts w:hint="eastAsia"/>
              </w:rPr>
            </w:pPr>
            <w:r>
              <w:rPr>
                <w:sz w:val="15"/>
              </w:rPr>
              <w:t>+3,805</w:t>
            </w:r>
          </w:p>
        </w:tc>
        <w:tc>
          <w:tcPr>
            <w:tcW w:w="1656" w:type="dxa"/>
            <w:shd w:val="clear" w:color="auto" w:fill="F5F7FA"/>
            <w:tcMar>
              <w:top w:w="90" w:type="dxa"/>
              <w:left w:w="100" w:type="dxa"/>
              <w:bottom w:w="90" w:type="dxa"/>
              <w:right w:w="100" w:type="dxa"/>
            </w:tcMar>
            <w:vAlign w:val="center"/>
          </w:tcPr>
          <w:p w14:paraId="0609B3E5" w14:textId="77777777" w:rsidR="009B5AA7" w:rsidRDefault="00000000">
            <w:pPr>
              <w:spacing w:after="0" w:line="240" w:lineRule="auto"/>
              <w:jc w:val="center"/>
              <w:rPr>
                <w:rFonts w:hint="eastAsia"/>
              </w:rPr>
            </w:pPr>
            <w:r>
              <w:rPr>
                <w:sz w:val="15"/>
              </w:rPr>
              <w:t>2,804 to 4,829</w:t>
            </w:r>
          </w:p>
        </w:tc>
        <w:tc>
          <w:tcPr>
            <w:tcW w:w="2232" w:type="dxa"/>
            <w:shd w:val="clear" w:color="auto" w:fill="F5F7FA"/>
            <w:tcMar>
              <w:top w:w="90" w:type="dxa"/>
              <w:left w:w="100" w:type="dxa"/>
              <w:bottom w:w="90" w:type="dxa"/>
              <w:right w:w="100" w:type="dxa"/>
            </w:tcMar>
            <w:vAlign w:val="center"/>
          </w:tcPr>
          <w:p w14:paraId="3D47169B" w14:textId="77777777" w:rsidR="009B5AA7" w:rsidRDefault="00000000">
            <w:pPr>
              <w:spacing w:after="0" w:line="240" w:lineRule="auto"/>
              <w:rPr>
                <w:rFonts w:hint="eastAsia"/>
              </w:rPr>
            </w:pPr>
            <w:r>
              <w:rPr>
                <w:sz w:val="15"/>
              </w:rPr>
              <w:t>Clear uplift advantage</w:t>
            </w:r>
          </w:p>
        </w:tc>
      </w:tr>
      <w:tr w:rsidR="009B5AA7" w14:paraId="5A65B45B" w14:textId="77777777">
        <w:trPr>
          <w:cantSplit/>
        </w:trPr>
        <w:tc>
          <w:tcPr>
            <w:tcW w:w="1080" w:type="dxa"/>
            <w:tcMar>
              <w:top w:w="90" w:type="dxa"/>
              <w:left w:w="100" w:type="dxa"/>
              <w:bottom w:w="90" w:type="dxa"/>
              <w:right w:w="100" w:type="dxa"/>
            </w:tcMar>
            <w:vAlign w:val="center"/>
          </w:tcPr>
          <w:p w14:paraId="55F7592C" w14:textId="77777777" w:rsidR="009B5AA7" w:rsidRDefault="00000000">
            <w:pPr>
              <w:spacing w:after="0" w:line="240" w:lineRule="auto"/>
              <w:rPr>
                <w:rFonts w:hint="eastAsia"/>
              </w:rPr>
            </w:pPr>
            <w:r>
              <w:rPr>
                <w:sz w:val="15"/>
              </w:rPr>
              <w:t>Visit</w:t>
            </w:r>
          </w:p>
        </w:tc>
        <w:tc>
          <w:tcPr>
            <w:tcW w:w="1224" w:type="dxa"/>
            <w:tcMar>
              <w:top w:w="90" w:type="dxa"/>
              <w:left w:w="100" w:type="dxa"/>
              <w:bottom w:w="90" w:type="dxa"/>
              <w:right w:w="100" w:type="dxa"/>
            </w:tcMar>
            <w:vAlign w:val="center"/>
          </w:tcPr>
          <w:p w14:paraId="0D24CB9F" w14:textId="77777777" w:rsidR="009B5AA7" w:rsidRDefault="00000000">
            <w:pPr>
              <w:spacing w:after="0" w:line="240" w:lineRule="auto"/>
              <w:rPr>
                <w:rFonts w:hint="eastAsia"/>
              </w:rPr>
            </w:pPr>
            <w:r>
              <w:rPr>
                <w:sz w:val="15"/>
              </w:rPr>
              <w:t>S-Learner</w:t>
            </w:r>
          </w:p>
        </w:tc>
        <w:tc>
          <w:tcPr>
            <w:tcW w:w="792" w:type="dxa"/>
            <w:tcMar>
              <w:top w:w="90" w:type="dxa"/>
              <w:left w:w="100" w:type="dxa"/>
              <w:bottom w:w="90" w:type="dxa"/>
              <w:right w:w="100" w:type="dxa"/>
            </w:tcMar>
            <w:vAlign w:val="center"/>
          </w:tcPr>
          <w:p w14:paraId="57A4560C" w14:textId="77777777" w:rsidR="009B5AA7" w:rsidRDefault="00000000">
            <w:pPr>
              <w:spacing w:after="0" w:line="240" w:lineRule="auto"/>
              <w:jc w:val="center"/>
              <w:rPr>
                <w:rFonts w:hint="eastAsia"/>
              </w:rPr>
            </w:pPr>
            <w:r>
              <w:rPr>
                <w:sz w:val="15"/>
              </w:rPr>
              <w:t>20%</w:t>
            </w:r>
          </w:p>
        </w:tc>
        <w:tc>
          <w:tcPr>
            <w:tcW w:w="1152" w:type="dxa"/>
            <w:tcMar>
              <w:top w:w="90" w:type="dxa"/>
              <w:left w:w="100" w:type="dxa"/>
              <w:bottom w:w="90" w:type="dxa"/>
              <w:right w:w="100" w:type="dxa"/>
            </w:tcMar>
            <w:vAlign w:val="center"/>
          </w:tcPr>
          <w:p w14:paraId="5685E88B" w14:textId="77777777" w:rsidR="009B5AA7" w:rsidRDefault="00000000">
            <w:pPr>
              <w:spacing w:after="0" w:line="240" w:lineRule="auto"/>
              <w:jc w:val="right"/>
              <w:rPr>
                <w:rFonts w:hint="eastAsia"/>
              </w:rPr>
            </w:pPr>
            <w:r>
              <w:rPr>
                <w:sz w:val="15"/>
              </w:rPr>
              <w:t>+566</w:t>
            </w:r>
          </w:p>
        </w:tc>
        <w:tc>
          <w:tcPr>
            <w:tcW w:w="1656" w:type="dxa"/>
            <w:tcMar>
              <w:top w:w="90" w:type="dxa"/>
              <w:left w:w="100" w:type="dxa"/>
              <w:bottom w:w="90" w:type="dxa"/>
              <w:right w:w="100" w:type="dxa"/>
            </w:tcMar>
            <w:vAlign w:val="center"/>
          </w:tcPr>
          <w:p w14:paraId="6A3702B2" w14:textId="77777777" w:rsidR="009B5AA7" w:rsidRDefault="00000000">
            <w:pPr>
              <w:spacing w:after="0" w:line="240" w:lineRule="auto"/>
              <w:jc w:val="center"/>
              <w:rPr>
                <w:rFonts w:hint="eastAsia"/>
              </w:rPr>
            </w:pPr>
            <w:r>
              <w:rPr>
                <w:sz w:val="15"/>
              </w:rPr>
              <w:t>−104 to 1,281</w:t>
            </w:r>
          </w:p>
        </w:tc>
        <w:tc>
          <w:tcPr>
            <w:tcW w:w="2232" w:type="dxa"/>
            <w:tcMar>
              <w:top w:w="90" w:type="dxa"/>
              <w:left w:w="100" w:type="dxa"/>
              <w:bottom w:w="90" w:type="dxa"/>
              <w:right w:w="100" w:type="dxa"/>
            </w:tcMar>
            <w:vAlign w:val="center"/>
          </w:tcPr>
          <w:p w14:paraId="5B6F5D93" w14:textId="77777777" w:rsidR="009B5AA7" w:rsidRDefault="00000000">
            <w:pPr>
              <w:spacing w:after="0" w:line="240" w:lineRule="auto"/>
              <w:rPr>
                <w:rFonts w:hint="eastAsia"/>
              </w:rPr>
            </w:pPr>
            <w:r>
              <w:rPr>
                <w:sz w:val="15"/>
              </w:rPr>
              <w:t>Unresolved</w:t>
            </w:r>
          </w:p>
        </w:tc>
      </w:tr>
      <w:tr w:rsidR="009B5AA7" w14:paraId="4614771C" w14:textId="77777777">
        <w:trPr>
          <w:cantSplit/>
        </w:trPr>
        <w:tc>
          <w:tcPr>
            <w:tcW w:w="1080" w:type="dxa"/>
            <w:shd w:val="clear" w:color="auto" w:fill="F5F7FA"/>
            <w:tcMar>
              <w:top w:w="90" w:type="dxa"/>
              <w:left w:w="100" w:type="dxa"/>
              <w:bottom w:w="90" w:type="dxa"/>
              <w:right w:w="100" w:type="dxa"/>
            </w:tcMar>
            <w:vAlign w:val="center"/>
          </w:tcPr>
          <w:p w14:paraId="0AC4ECBD" w14:textId="77777777" w:rsidR="009B5AA7" w:rsidRDefault="00000000">
            <w:pPr>
              <w:spacing w:after="0" w:line="240" w:lineRule="auto"/>
              <w:rPr>
                <w:rFonts w:hint="eastAsia"/>
              </w:rPr>
            </w:pPr>
            <w:r>
              <w:rPr>
                <w:sz w:val="15"/>
              </w:rPr>
              <w:t>Visit</w:t>
            </w:r>
          </w:p>
        </w:tc>
        <w:tc>
          <w:tcPr>
            <w:tcW w:w="1224" w:type="dxa"/>
            <w:shd w:val="clear" w:color="auto" w:fill="F5F7FA"/>
            <w:tcMar>
              <w:top w:w="90" w:type="dxa"/>
              <w:left w:w="100" w:type="dxa"/>
              <w:bottom w:w="90" w:type="dxa"/>
              <w:right w:w="100" w:type="dxa"/>
            </w:tcMar>
            <w:vAlign w:val="center"/>
          </w:tcPr>
          <w:p w14:paraId="3FBAD4CB" w14:textId="77777777" w:rsidR="009B5AA7" w:rsidRDefault="00000000">
            <w:pPr>
              <w:spacing w:after="0" w:line="240" w:lineRule="auto"/>
              <w:rPr>
                <w:rFonts w:hint="eastAsia"/>
              </w:rPr>
            </w:pPr>
            <w:r>
              <w:rPr>
                <w:sz w:val="15"/>
              </w:rPr>
              <w:t>S-Learner</w:t>
            </w:r>
          </w:p>
        </w:tc>
        <w:tc>
          <w:tcPr>
            <w:tcW w:w="792" w:type="dxa"/>
            <w:shd w:val="clear" w:color="auto" w:fill="F5F7FA"/>
            <w:tcMar>
              <w:top w:w="90" w:type="dxa"/>
              <w:left w:w="100" w:type="dxa"/>
              <w:bottom w:w="90" w:type="dxa"/>
              <w:right w:w="100" w:type="dxa"/>
            </w:tcMar>
            <w:vAlign w:val="center"/>
          </w:tcPr>
          <w:p w14:paraId="7D824A2E" w14:textId="77777777" w:rsidR="009B5AA7" w:rsidRDefault="00000000">
            <w:pPr>
              <w:spacing w:after="0" w:line="240" w:lineRule="auto"/>
              <w:jc w:val="center"/>
              <w:rPr>
                <w:rFonts w:hint="eastAsia"/>
              </w:rPr>
            </w:pPr>
            <w:r>
              <w:rPr>
                <w:sz w:val="15"/>
              </w:rPr>
              <w:t>30%</w:t>
            </w:r>
          </w:p>
        </w:tc>
        <w:tc>
          <w:tcPr>
            <w:tcW w:w="1152" w:type="dxa"/>
            <w:shd w:val="clear" w:color="auto" w:fill="F5F7FA"/>
            <w:tcMar>
              <w:top w:w="90" w:type="dxa"/>
              <w:left w:w="100" w:type="dxa"/>
              <w:bottom w:w="90" w:type="dxa"/>
              <w:right w:w="100" w:type="dxa"/>
            </w:tcMar>
            <w:vAlign w:val="center"/>
          </w:tcPr>
          <w:p w14:paraId="0A64D022" w14:textId="77777777" w:rsidR="009B5AA7" w:rsidRDefault="00000000">
            <w:pPr>
              <w:spacing w:after="0" w:line="240" w:lineRule="auto"/>
              <w:jc w:val="right"/>
              <w:rPr>
                <w:rFonts w:hint="eastAsia"/>
              </w:rPr>
            </w:pPr>
            <w:r>
              <w:rPr>
                <w:sz w:val="15"/>
              </w:rPr>
              <w:t>+521</w:t>
            </w:r>
          </w:p>
        </w:tc>
        <w:tc>
          <w:tcPr>
            <w:tcW w:w="1656" w:type="dxa"/>
            <w:shd w:val="clear" w:color="auto" w:fill="F5F7FA"/>
            <w:tcMar>
              <w:top w:w="90" w:type="dxa"/>
              <w:left w:w="100" w:type="dxa"/>
              <w:bottom w:w="90" w:type="dxa"/>
              <w:right w:w="100" w:type="dxa"/>
            </w:tcMar>
            <w:vAlign w:val="center"/>
          </w:tcPr>
          <w:p w14:paraId="589160C5" w14:textId="77777777" w:rsidR="009B5AA7" w:rsidRDefault="00000000">
            <w:pPr>
              <w:spacing w:after="0" w:line="240" w:lineRule="auto"/>
              <w:jc w:val="center"/>
              <w:rPr>
                <w:rFonts w:hint="eastAsia"/>
              </w:rPr>
            </w:pPr>
            <w:r>
              <w:rPr>
                <w:sz w:val="15"/>
              </w:rPr>
              <w:t>46 to 1,029</w:t>
            </w:r>
          </w:p>
        </w:tc>
        <w:tc>
          <w:tcPr>
            <w:tcW w:w="2232" w:type="dxa"/>
            <w:shd w:val="clear" w:color="auto" w:fill="F5F7FA"/>
            <w:tcMar>
              <w:top w:w="90" w:type="dxa"/>
              <w:left w:w="100" w:type="dxa"/>
              <w:bottom w:w="90" w:type="dxa"/>
              <w:right w:w="100" w:type="dxa"/>
            </w:tcMar>
            <w:vAlign w:val="center"/>
          </w:tcPr>
          <w:p w14:paraId="5C3A5D27" w14:textId="77777777" w:rsidR="009B5AA7" w:rsidRDefault="00000000">
            <w:pPr>
              <w:spacing w:after="0" w:line="240" w:lineRule="auto"/>
              <w:rPr>
                <w:rFonts w:hint="eastAsia"/>
              </w:rPr>
            </w:pPr>
            <w:r>
              <w:rPr>
                <w:sz w:val="15"/>
              </w:rPr>
              <w:t>Positive but marginal</w:t>
            </w:r>
          </w:p>
        </w:tc>
      </w:tr>
      <w:tr w:rsidR="009B5AA7" w14:paraId="7F64C291" w14:textId="77777777">
        <w:trPr>
          <w:cantSplit/>
        </w:trPr>
        <w:tc>
          <w:tcPr>
            <w:tcW w:w="1080" w:type="dxa"/>
            <w:tcMar>
              <w:top w:w="90" w:type="dxa"/>
              <w:left w:w="100" w:type="dxa"/>
              <w:bottom w:w="90" w:type="dxa"/>
              <w:right w:w="100" w:type="dxa"/>
            </w:tcMar>
            <w:vAlign w:val="center"/>
          </w:tcPr>
          <w:p w14:paraId="1A2A5420" w14:textId="77777777" w:rsidR="009B5AA7" w:rsidRDefault="00000000">
            <w:pPr>
              <w:spacing w:after="0" w:line="240" w:lineRule="auto"/>
              <w:rPr>
                <w:rFonts w:hint="eastAsia"/>
              </w:rPr>
            </w:pPr>
            <w:r>
              <w:rPr>
                <w:sz w:val="15"/>
              </w:rPr>
              <w:t>Conversion</w:t>
            </w:r>
          </w:p>
        </w:tc>
        <w:tc>
          <w:tcPr>
            <w:tcW w:w="1224" w:type="dxa"/>
            <w:tcMar>
              <w:top w:w="90" w:type="dxa"/>
              <w:left w:w="100" w:type="dxa"/>
              <w:bottom w:w="90" w:type="dxa"/>
              <w:right w:w="100" w:type="dxa"/>
            </w:tcMar>
            <w:vAlign w:val="center"/>
          </w:tcPr>
          <w:p w14:paraId="64EA1921" w14:textId="77777777" w:rsidR="009B5AA7" w:rsidRDefault="00000000">
            <w:pPr>
              <w:spacing w:after="0" w:line="240" w:lineRule="auto"/>
              <w:rPr>
                <w:rFonts w:hint="eastAsia"/>
              </w:rPr>
            </w:pPr>
            <w:r>
              <w:rPr>
                <w:sz w:val="15"/>
              </w:rPr>
              <w:t>S-Learner</w:t>
            </w:r>
          </w:p>
        </w:tc>
        <w:tc>
          <w:tcPr>
            <w:tcW w:w="792" w:type="dxa"/>
            <w:tcMar>
              <w:top w:w="90" w:type="dxa"/>
              <w:left w:w="100" w:type="dxa"/>
              <w:bottom w:w="90" w:type="dxa"/>
              <w:right w:w="100" w:type="dxa"/>
            </w:tcMar>
            <w:vAlign w:val="center"/>
          </w:tcPr>
          <w:p w14:paraId="03D2E819" w14:textId="77777777" w:rsidR="009B5AA7" w:rsidRDefault="00000000">
            <w:pPr>
              <w:spacing w:after="0" w:line="240" w:lineRule="auto"/>
              <w:jc w:val="center"/>
              <w:rPr>
                <w:rFonts w:hint="eastAsia"/>
              </w:rPr>
            </w:pPr>
            <w:r>
              <w:rPr>
                <w:sz w:val="15"/>
              </w:rPr>
              <w:t>5%</w:t>
            </w:r>
          </w:p>
        </w:tc>
        <w:tc>
          <w:tcPr>
            <w:tcW w:w="1152" w:type="dxa"/>
            <w:tcMar>
              <w:top w:w="90" w:type="dxa"/>
              <w:left w:w="100" w:type="dxa"/>
              <w:bottom w:w="90" w:type="dxa"/>
              <w:right w:w="100" w:type="dxa"/>
            </w:tcMar>
            <w:vAlign w:val="center"/>
          </w:tcPr>
          <w:p w14:paraId="4D1ECA24" w14:textId="77777777" w:rsidR="009B5AA7" w:rsidRDefault="00000000">
            <w:pPr>
              <w:spacing w:after="0" w:line="240" w:lineRule="auto"/>
              <w:jc w:val="right"/>
              <w:rPr>
                <w:rFonts w:hint="eastAsia"/>
              </w:rPr>
            </w:pPr>
            <w:r>
              <w:rPr>
                <w:sz w:val="15"/>
              </w:rPr>
              <w:t>−114</w:t>
            </w:r>
          </w:p>
        </w:tc>
        <w:tc>
          <w:tcPr>
            <w:tcW w:w="1656" w:type="dxa"/>
            <w:tcMar>
              <w:top w:w="90" w:type="dxa"/>
              <w:left w:w="100" w:type="dxa"/>
              <w:bottom w:w="90" w:type="dxa"/>
              <w:right w:w="100" w:type="dxa"/>
            </w:tcMar>
            <w:vAlign w:val="center"/>
          </w:tcPr>
          <w:p w14:paraId="313DB6B9" w14:textId="77777777" w:rsidR="009B5AA7" w:rsidRDefault="00000000">
            <w:pPr>
              <w:spacing w:after="0" w:line="240" w:lineRule="auto"/>
              <w:jc w:val="center"/>
              <w:rPr>
                <w:rFonts w:hint="eastAsia"/>
              </w:rPr>
            </w:pPr>
            <w:r>
              <w:rPr>
                <w:sz w:val="15"/>
              </w:rPr>
              <w:t>−186 to −37</w:t>
            </w:r>
          </w:p>
        </w:tc>
        <w:tc>
          <w:tcPr>
            <w:tcW w:w="2232" w:type="dxa"/>
            <w:tcMar>
              <w:top w:w="90" w:type="dxa"/>
              <w:left w:w="100" w:type="dxa"/>
              <w:bottom w:w="90" w:type="dxa"/>
              <w:right w:w="100" w:type="dxa"/>
            </w:tcMar>
            <w:vAlign w:val="center"/>
          </w:tcPr>
          <w:p w14:paraId="2797A369" w14:textId="77777777" w:rsidR="009B5AA7" w:rsidRDefault="00000000">
            <w:pPr>
              <w:spacing w:after="0" w:line="240" w:lineRule="auto"/>
              <w:rPr>
                <w:rFonts w:hint="eastAsia"/>
              </w:rPr>
            </w:pPr>
            <w:r>
              <w:rPr>
                <w:sz w:val="15"/>
              </w:rPr>
              <w:t>Response is better</w:t>
            </w:r>
          </w:p>
        </w:tc>
      </w:tr>
      <w:tr w:rsidR="009B5AA7" w14:paraId="495A20AC" w14:textId="77777777">
        <w:trPr>
          <w:cantSplit/>
        </w:trPr>
        <w:tc>
          <w:tcPr>
            <w:tcW w:w="1080" w:type="dxa"/>
            <w:shd w:val="clear" w:color="auto" w:fill="F5F7FA"/>
            <w:tcMar>
              <w:top w:w="90" w:type="dxa"/>
              <w:left w:w="100" w:type="dxa"/>
              <w:bottom w:w="90" w:type="dxa"/>
              <w:right w:w="100" w:type="dxa"/>
            </w:tcMar>
            <w:vAlign w:val="center"/>
          </w:tcPr>
          <w:p w14:paraId="57892332" w14:textId="77777777" w:rsidR="009B5AA7" w:rsidRDefault="00000000">
            <w:pPr>
              <w:spacing w:after="0" w:line="240" w:lineRule="auto"/>
              <w:rPr>
                <w:rFonts w:hint="eastAsia"/>
              </w:rPr>
            </w:pPr>
            <w:r>
              <w:rPr>
                <w:sz w:val="15"/>
              </w:rPr>
              <w:t>Conversion</w:t>
            </w:r>
          </w:p>
        </w:tc>
        <w:tc>
          <w:tcPr>
            <w:tcW w:w="1224" w:type="dxa"/>
            <w:shd w:val="clear" w:color="auto" w:fill="F5F7FA"/>
            <w:tcMar>
              <w:top w:w="90" w:type="dxa"/>
              <w:left w:w="100" w:type="dxa"/>
              <w:bottom w:w="90" w:type="dxa"/>
              <w:right w:w="100" w:type="dxa"/>
            </w:tcMar>
            <w:vAlign w:val="center"/>
          </w:tcPr>
          <w:p w14:paraId="43180C02" w14:textId="77777777" w:rsidR="009B5AA7" w:rsidRDefault="00000000">
            <w:pPr>
              <w:spacing w:after="0" w:line="240" w:lineRule="auto"/>
              <w:rPr>
                <w:rFonts w:hint="eastAsia"/>
              </w:rPr>
            </w:pPr>
            <w:r>
              <w:rPr>
                <w:sz w:val="15"/>
              </w:rPr>
              <w:t>S-Learner</w:t>
            </w:r>
          </w:p>
        </w:tc>
        <w:tc>
          <w:tcPr>
            <w:tcW w:w="792" w:type="dxa"/>
            <w:shd w:val="clear" w:color="auto" w:fill="F5F7FA"/>
            <w:tcMar>
              <w:top w:w="90" w:type="dxa"/>
              <w:left w:w="100" w:type="dxa"/>
              <w:bottom w:w="90" w:type="dxa"/>
              <w:right w:w="100" w:type="dxa"/>
            </w:tcMar>
            <w:vAlign w:val="center"/>
          </w:tcPr>
          <w:p w14:paraId="0C917036" w14:textId="77777777" w:rsidR="009B5AA7" w:rsidRDefault="00000000">
            <w:pPr>
              <w:spacing w:after="0" w:line="240" w:lineRule="auto"/>
              <w:jc w:val="center"/>
              <w:rPr>
                <w:rFonts w:hint="eastAsia"/>
              </w:rPr>
            </w:pPr>
            <w:r>
              <w:rPr>
                <w:sz w:val="15"/>
              </w:rPr>
              <w:t>10%</w:t>
            </w:r>
          </w:p>
        </w:tc>
        <w:tc>
          <w:tcPr>
            <w:tcW w:w="1152" w:type="dxa"/>
            <w:shd w:val="clear" w:color="auto" w:fill="F5F7FA"/>
            <w:tcMar>
              <w:top w:w="90" w:type="dxa"/>
              <w:left w:w="100" w:type="dxa"/>
              <w:bottom w:w="90" w:type="dxa"/>
              <w:right w:w="100" w:type="dxa"/>
            </w:tcMar>
            <w:vAlign w:val="center"/>
          </w:tcPr>
          <w:p w14:paraId="428A8608" w14:textId="77777777" w:rsidR="009B5AA7" w:rsidRDefault="00000000">
            <w:pPr>
              <w:spacing w:after="0" w:line="240" w:lineRule="auto"/>
              <w:jc w:val="right"/>
              <w:rPr>
                <w:rFonts w:hint="eastAsia"/>
              </w:rPr>
            </w:pPr>
            <w:r>
              <w:rPr>
                <w:sz w:val="15"/>
              </w:rPr>
              <w:t>−89</w:t>
            </w:r>
          </w:p>
        </w:tc>
        <w:tc>
          <w:tcPr>
            <w:tcW w:w="1656" w:type="dxa"/>
            <w:shd w:val="clear" w:color="auto" w:fill="F5F7FA"/>
            <w:tcMar>
              <w:top w:w="90" w:type="dxa"/>
              <w:left w:w="100" w:type="dxa"/>
              <w:bottom w:w="90" w:type="dxa"/>
              <w:right w:w="100" w:type="dxa"/>
            </w:tcMar>
            <w:vAlign w:val="center"/>
          </w:tcPr>
          <w:p w14:paraId="5744C682" w14:textId="77777777" w:rsidR="009B5AA7" w:rsidRDefault="00000000">
            <w:pPr>
              <w:spacing w:after="0" w:line="240" w:lineRule="auto"/>
              <w:jc w:val="center"/>
              <w:rPr>
                <w:rFonts w:hint="eastAsia"/>
              </w:rPr>
            </w:pPr>
            <w:r>
              <w:rPr>
                <w:sz w:val="15"/>
              </w:rPr>
              <w:t>−147 to −31</w:t>
            </w:r>
          </w:p>
        </w:tc>
        <w:tc>
          <w:tcPr>
            <w:tcW w:w="2232" w:type="dxa"/>
            <w:shd w:val="clear" w:color="auto" w:fill="F5F7FA"/>
            <w:tcMar>
              <w:top w:w="90" w:type="dxa"/>
              <w:left w:w="100" w:type="dxa"/>
              <w:bottom w:w="90" w:type="dxa"/>
              <w:right w:w="100" w:type="dxa"/>
            </w:tcMar>
            <w:vAlign w:val="center"/>
          </w:tcPr>
          <w:p w14:paraId="04804EC2" w14:textId="77777777" w:rsidR="009B5AA7" w:rsidRDefault="00000000">
            <w:pPr>
              <w:spacing w:after="0" w:line="240" w:lineRule="auto"/>
              <w:rPr>
                <w:rFonts w:hint="eastAsia"/>
              </w:rPr>
            </w:pPr>
            <w:r>
              <w:rPr>
                <w:sz w:val="15"/>
              </w:rPr>
              <w:t>Response is better</w:t>
            </w:r>
          </w:p>
        </w:tc>
      </w:tr>
      <w:tr w:rsidR="009B5AA7" w14:paraId="33D05294" w14:textId="77777777">
        <w:trPr>
          <w:cantSplit/>
        </w:trPr>
        <w:tc>
          <w:tcPr>
            <w:tcW w:w="1080" w:type="dxa"/>
            <w:tcMar>
              <w:top w:w="90" w:type="dxa"/>
              <w:left w:w="100" w:type="dxa"/>
              <w:bottom w:w="90" w:type="dxa"/>
              <w:right w:w="100" w:type="dxa"/>
            </w:tcMar>
            <w:vAlign w:val="center"/>
          </w:tcPr>
          <w:p w14:paraId="21A4492B" w14:textId="77777777" w:rsidR="009B5AA7" w:rsidRDefault="00000000">
            <w:pPr>
              <w:spacing w:after="0" w:line="240" w:lineRule="auto"/>
              <w:rPr>
                <w:rFonts w:hint="eastAsia"/>
              </w:rPr>
            </w:pPr>
            <w:r>
              <w:rPr>
                <w:sz w:val="15"/>
              </w:rPr>
              <w:t>Conversion</w:t>
            </w:r>
          </w:p>
        </w:tc>
        <w:tc>
          <w:tcPr>
            <w:tcW w:w="1224" w:type="dxa"/>
            <w:tcMar>
              <w:top w:w="90" w:type="dxa"/>
              <w:left w:w="100" w:type="dxa"/>
              <w:bottom w:w="90" w:type="dxa"/>
              <w:right w:w="100" w:type="dxa"/>
            </w:tcMar>
            <w:vAlign w:val="center"/>
          </w:tcPr>
          <w:p w14:paraId="3697B291" w14:textId="77777777" w:rsidR="009B5AA7" w:rsidRDefault="00000000">
            <w:pPr>
              <w:spacing w:after="0" w:line="240" w:lineRule="auto"/>
              <w:rPr>
                <w:rFonts w:hint="eastAsia"/>
              </w:rPr>
            </w:pPr>
            <w:r>
              <w:rPr>
                <w:sz w:val="15"/>
              </w:rPr>
              <w:t>S-Learner</w:t>
            </w:r>
          </w:p>
        </w:tc>
        <w:tc>
          <w:tcPr>
            <w:tcW w:w="792" w:type="dxa"/>
            <w:tcMar>
              <w:top w:w="90" w:type="dxa"/>
              <w:left w:w="100" w:type="dxa"/>
              <w:bottom w:w="90" w:type="dxa"/>
              <w:right w:w="100" w:type="dxa"/>
            </w:tcMar>
            <w:vAlign w:val="center"/>
          </w:tcPr>
          <w:p w14:paraId="74AA2423" w14:textId="77777777" w:rsidR="009B5AA7" w:rsidRDefault="00000000">
            <w:pPr>
              <w:spacing w:after="0" w:line="240" w:lineRule="auto"/>
              <w:jc w:val="center"/>
              <w:rPr>
                <w:rFonts w:hint="eastAsia"/>
              </w:rPr>
            </w:pPr>
            <w:r>
              <w:rPr>
                <w:sz w:val="15"/>
              </w:rPr>
              <w:t>20%</w:t>
            </w:r>
          </w:p>
        </w:tc>
        <w:tc>
          <w:tcPr>
            <w:tcW w:w="1152" w:type="dxa"/>
            <w:tcMar>
              <w:top w:w="90" w:type="dxa"/>
              <w:left w:w="100" w:type="dxa"/>
              <w:bottom w:w="90" w:type="dxa"/>
              <w:right w:w="100" w:type="dxa"/>
            </w:tcMar>
            <w:vAlign w:val="center"/>
          </w:tcPr>
          <w:p w14:paraId="3E394D26" w14:textId="77777777" w:rsidR="009B5AA7" w:rsidRDefault="00000000">
            <w:pPr>
              <w:spacing w:after="0" w:line="240" w:lineRule="auto"/>
              <w:jc w:val="right"/>
              <w:rPr>
                <w:rFonts w:hint="eastAsia"/>
              </w:rPr>
            </w:pPr>
            <w:r>
              <w:rPr>
                <w:sz w:val="15"/>
              </w:rPr>
              <w:t>−15</w:t>
            </w:r>
          </w:p>
        </w:tc>
        <w:tc>
          <w:tcPr>
            <w:tcW w:w="1656" w:type="dxa"/>
            <w:tcMar>
              <w:top w:w="90" w:type="dxa"/>
              <w:left w:w="100" w:type="dxa"/>
              <w:bottom w:w="90" w:type="dxa"/>
              <w:right w:w="100" w:type="dxa"/>
            </w:tcMar>
            <w:vAlign w:val="center"/>
          </w:tcPr>
          <w:p w14:paraId="37517D00" w14:textId="77777777" w:rsidR="009B5AA7" w:rsidRDefault="00000000">
            <w:pPr>
              <w:spacing w:after="0" w:line="240" w:lineRule="auto"/>
              <w:jc w:val="center"/>
              <w:rPr>
                <w:rFonts w:hint="eastAsia"/>
              </w:rPr>
            </w:pPr>
            <w:r>
              <w:rPr>
                <w:sz w:val="15"/>
              </w:rPr>
              <w:t>−56 to 28</w:t>
            </w:r>
          </w:p>
        </w:tc>
        <w:tc>
          <w:tcPr>
            <w:tcW w:w="2232" w:type="dxa"/>
            <w:tcMar>
              <w:top w:w="90" w:type="dxa"/>
              <w:left w:w="100" w:type="dxa"/>
              <w:bottom w:w="90" w:type="dxa"/>
              <w:right w:w="100" w:type="dxa"/>
            </w:tcMar>
            <w:vAlign w:val="center"/>
          </w:tcPr>
          <w:p w14:paraId="4C354CCE" w14:textId="77777777" w:rsidR="009B5AA7" w:rsidRDefault="00000000">
            <w:pPr>
              <w:spacing w:after="0" w:line="240" w:lineRule="auto"/>
              <w:rPr>
                <w:rFonts w:hint="eastAsia"/>
              </w:rPr>
            </w:pPr>
            <w:r>
              <w:rPr>
                <w:sz w:val="15"/>
              </w:rPr>
              <w:t>Unresolved</w:t>
            </w:r>
          </w:p>
        </w:tc>
      </w:tr>
      <w:tr w:rsidR="009B5AA7" w14:paraId="39F198C0" w14:textId="77777777">
        <w:trPr>
          <w:cantSplit/>
        </w:trPr>
        <w:tc>
          <w:tcPr>
            <w:tcW w:w="1080" w:type="dxa"/>
            <w:shd w:val="clear" w:color="auto" w:fill="F5F7FA"/>
            <w:tcMar>
              <w:top w:w="90" w:type="dxa"/>
              <w:left w:w="100" w:type="dxa"/>
              <w:bottom w:w="90" w:type="dxa"/>
              <w:right w:w="100" w:type="dxa"/>
            </w:tcMar>
            <w:vAlign w:val="center"/>
          </w:tcPr>
          <w:p w14:paraId="59FCC624" w14:textId="77777777" w:rsidR="009B5AA7" w:rsidRDefault="00000000">
            <w:pPr>
              <w:spacing w:after="0" w:line="240" w:lineRule="auto"/>
              <w:rPr>
                <w:rFonts w:hint="eastAsia"/>
              </w:rPr>
            </w:pPr>
            <w:r>
              <w:rPr>
                <w:sz w:val="15"/>
              </w:rPr>
              <w:t>Conversion</w:t>
            </w:r>
          </w:p>
        </w:tc>
        <w:tc>
          <w:tcPr>
            <w:tcW w:w="1224" w:type="dxa"/>
            <w:shd w:val="clear" w:color="auto" w:fill="F5F7FA"/>
            <w:tcMar>
              <w:top w:w="90" w:type="dxa"/>
              <w:left w:w="100" w:type="dxa"/>
              <w:bottom w:w="90" w:type="dxa"/>
              <w:right w:w="100" w:type="dxa"/>
            </w:tcMar>
            <w:vAlign w:val="center"/>
          </w:tcPr>
          <w:p w14:paraId="514A2CC4" w14:textId="77777777" w:rsidR="009B5AA7" w:rsidRDefault="00000000">
            <w:pPr>
              <w:spacing w:after="0" w:line="240" w:lineRule="auto"/>
              <w:rPr>
                <w:rFonts w:hint="eastAsia"/>
              </w:rPr>
            </w:pPr>
            <w:r>
              <w:rPr>
                <w:sz w:val="15"/>
              </w:rPr>
              <w:t>S-Learner</w:t>
            </w:r>
          </w:p>
        </w:tc>
        <w:tc>
          <w:tcPr>
            <w:tcW w:w="792" w:type="dxa"/>
            <w:shd w:val="clear" w:color="auto" w:fill="F5F7FA"/>
            <w:tcMar>
              <w:top w:w="90" w:type="dxa"/>
              <w:left w:w="100" w:type="dxa"/>
              <w:bottom w:w="90" w:type="dxa"/>
              <w:right w:w="100" w:type="dxa"/>
            </w:tcMar>
            <w:vAlign w:val="center"/>
          </w:tcPr>
          <w:p w14:paraId="25A4454E" w14:textId="77777777" w:rsidR="009B5AA7" w:rsidRDefault="00000000">
            <w:pPr>
              <w:spacing w:after="0" w:line="240" w:lineRule="auto"/>
              <w:jc w:val="center"/>
              <w:rPr>
                <w:rFonts w:hint="eastAsia"/>
              </w:rPr>
            </w:pPr>
            <w:r>
              <w:rPr>
                <w:sz w:val="15"/>
              </w:rPr>
              <w:t>30%</w:t>
            </w:r>
          </w:p>
        </w:tc>
        <w:tc>
          <w:tcPr>
            <w:tcW w:w="1152" w:type="dxa"/>
            <w:shd w:val="clear" w:color="auto" w:fill="F5F7FA"/>
            <w:tcMar>
              <w:top w:w="90" w:type="dxa"/>
              <w:left w:w="100" w:type="dxa"/>
              <w:bottom w:w="90" w:type="dxa"/>
              <w:right w:w="100" w:type="dxa"/>
            </w:tcMar>
            <w:vAlign w:val="center"/>
          </w:tcPr>
          <w:p w14:paraId="2A037C9B" w14:textId="77777777" w:rsidR="009B5AA7" w:rsidRDefault="00000000">
            <w:pPr>
              <w:spacing w:after="0" w:line="240" w:lineRule="auto"/>
              <w:jc w:val="right"/>
              <w:rPr>
                <w:rFonts w:hint="eastAsia"/>
              </w:rPr>
            </w:pPr>
            <w:r>
              <w:rPr>
                <w:sz w:val="15"/>
              </w:rPr>
              <w:t>+4</w:t>
            </w:r>
          </w:p>
        </w:tc>
        <w:tc>
          <w:tcPr>
            <w:tcW w:w="1656" w:type="dxa"/>
            <w:shd w:val="clear" w:color="auto" w:fill="F5F7FA"/>
            <w:tcMar>
              <w:top w:w="90" w:type="dxa"/>
              <w:left w:w="100" w:type="dxa"/>
              <w:bottom w:w="90" w:type="dxa"/>
              <w:right w:w="100" w:type="dxa"/>
            </w:tcMar>
            <w:vAlign w:val="center"/>
          </w:tcPr>
          <w:p w14:paraId="62D013C8" w14:textId="77777777" w:rsidR="009B5AA7" w:rsidRDefault="00000000">
            <w:pPr>
              <w:spacing w:after="0" w:line="240" w:lineRule="auto"/>
              <w:jc w:val="center"/>
              <w:rPr>
                <w:rFonts w:hint="eastAsia"/>
              </w:rPr>
            </w:pPr>
            <w:r>
              <w:rPr>
                <w:sz w:val="15"/>
              </w:rPr>
              <w:t>−16 to 27</w:t>
            </w:r>
          </w:p>
        </w:tc>
        <w:tc>
          <w:tcPr>
            <w:tcW w:w="2232" w:type="dxa"/>
            <w:shd w:val="clear" w:color="auto" w:fill="F5F7FA"/>
            <w:tcMar>
              <w:top w:w="90" w:type="dxa"/>
              <w:left w:w="100" w:type="dxa"/>
              <w:bottom w:w="90" w:type="dxa"/>
              <w:right w:w="100" w:type="dxa"/>
            </w:tcMar>
            <w:vAlign w:val="center"/>
          </w:tcPr>
          <w:p w14:paraId="6393D8D0" w14:textId="77777777" w:rsidR="009B5AA7" w:rsidRDefault="00000000">
            <w:pPr>
              <w:spacing w:after="0" w:line="240" w:lineRule="auto"/>
              <w:rPr>
                <w:rFonts w:hint="eastAsia"/>
              </w:rPr>
            </w:pPr>
            <w:r>
              <w:rPr>
                <w:sz w:val="15"/>
              </w:rPr>
              <w:t>Unresolved</w:t>
            </w:r>
          </w:p>
        </w:tc>
      </w:tr>
    </w:tbl>
    <w:p w14:paraId="047DDAE4" w14:textId="77777777" w:rsidR="009B5AA7" w:rsidRDefault="009B5AA7">
      <w:pPr>
        <w:spacing w:after="0"/>
        <w:rPr>
          <w:rFonts w:hint="eastAsia"/>
        </w:rPr>
      </w:pPr>
    </w:p>
    <w:p w14:paraId="6B4307D6" w14:textId="77777777" w:rsidR="009B5AA7" w:rsidRDefault="00000000">
      <w:pPr>
        <w:rPr>
          <w:rFonts w:hint="eastAsia"/>
        </w:rPr>
      </w:pPr>
      <w:r>
        <w:t>The 5% comparison was added after the initial test review. All budget comparisons therefore remain exploratory, even where the fixed-ranking intervals exclude zero.</w:t>
      </w:r>
    </w:p>
    <w:p w14:paraId="059080A0" w14:textId="77777777" w:rsidR="009B5AA7" w:rsidRDefault="00000000">
      <w:pPr>
        <w:pStyle w:val="1"/>
      </w:pPr>
      <w:r>
        <w:t>Cross Objective Policy Comparison</w:t>
      </w:r>
    </w:p>
    <w:p w14:paraId="13A3328D" w14:textId="77777777" w:rsidR="009B5AA7" w:rsidRDefault="00000000">
      <w:pPr>
        <w:rPr>
          <w:rFonts w:hint="eastAsia"/>
        </w:rPr>
      </w:pPr>
      <w:r>
        <w:t>Visit and Conversion S-Learner scores have a Spearman rank correlation of 0.888. At 30% coverage, the policies share 84.7% of selected records. The agreement is high, but the remaining differences can matter for rare conversions. Objective-specific evaluation should therefore be retained rather than assuming one universal advertising ranking.</w:t>
      </w:r>
    </w:p>
    <w:p w14:paraId="76D6F614" w14:textId="77777777" w:rsidR="009B5AA7" w:rsidRDefault="00000000">
      <w:pPr>
        <w:pStyle w:val="af7"/>
        <w:keepNext/>
        <w:jc w:val="center"/>
        <w:rPr>
          <w:rFonts w:hint="eastAsia"/>
        </w:rPr>
      </w:pPr>
      <w:r>
        <w:t>Figure 7  Overlap between Visit and Conversion targeting policies</w:t>
      </w:r>
    </w:p>
    <w:p w14:paraId="2FAB5993" w14:textId="77777777" w:rsidR="009B5AA7" w:rsidRDefault="00000000">
      <w:pPr>
        <w:keepLines/>
        <w:spacing w:after="200"/>
        <w:jc w:val="center"/>
        <w:rPr>
          <w:rFonts w:hint="eastAsia"/>
        </w:rPr>
      </w:pPr>
      <w:r>
        <w:rPr>
          <w:noProof/>
        </w:rPr>
        <w:drawing>
          <wp:inline distT="0" distB="0" distL="0" distR="0" wp14:anchorId="1F919003" wp14:editId="2E4E8541">
            <wp:extent cx="4297680" cy="28651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it_conversion_policy_overlap.png"/>
                    <pic:cNvPicPr/>
                  </pic:nvPicPr>
                  <pic:blipFill>
                    <a:blip r:embed="rId14"/>
                    <a:stretch>
                      <a:fillRect/>
                    </a:stretch>
                  </pic:blipFill>
                  <pic:spPr>
                    <a:xfrm>
                      <a:off x="0" y="0"/>
                      <a:ext cx="4297680" cy="2865120"/>
                    </a:xfrm>
                    <a:prstGeom prst="rect">
                      <a:avLst/>
                    </a:prstGeom>
                  </pic:spPr>
                </pic:pic>
              </a:graphicData>
            </a:graphic>
          </wp:inline>
        </w:drawing>
      </w:r>
    </w:p>
    <w:p w14:paraId="5B981D10" w14:textId="77777777" w:rsidR="009B5AA7" w:rsidRDefault="00000000">
      <w:pPr>
        <w:pStyle w:val="1"/>
      </w:pPr>
      <w:r>
        <w:t>Business Recommendation</w:t>
      </w:r>
    </w:p>
    <w:p w14:paraId="759FE5A5" w14:textId="77777777" w:rsidR="009B5AA7" w:rsidRDefault="00000000">
      <w:pPr>
        <w:rPr>
          <w:rFonts w:hint="eastAsia"/>
        </w:rPr>
      </w:pPr>
      <w:r>
        <w:t>For a Visit objective with a constrained budget, advance the S-Learner ranking to prospective validation. The strongest evidence is at 5% and 10% coverage, where it clearly outperforms response targeting. The choice between those budgets must depend on capacity, cost, and value per incremental visit, none of which are available in the public dataset.</w:t>
      </w:r>
    </w:p>
    <w:p w14:paraId="1239EE4B" w14:textId="77777777" w:rsidR="009B5AA7" w:rsidRDefault="00000000">
      <w:pPr>
        <w:rPr>
          <w:rFonts w:hint="eastAsia"/>
        </w:rPr>
      </w:pPr>
      <w:r>
        <w:lastRenderedPageBreak/>
        <w:t>For a Conversion objective, retain response propensity as the benchmark challenger. The tested uplift learners do not improve global Qini and perform worse at the tightest budgets. Further Conversion model development should occur on validation data or new data rather than through repeated test-set comparison.</w:t>
      </w:r>
    </w:p>
    <w:p w14:paraId="25C78F82" w14:textId="77777777" w:rsidR="009B5AA7" w:rsidRDefault="00000000">
      <w:pPr>
        <w:pStyle w:val="1"/>
      </w:pPr>
      <w:r>
        <w:t>Reproducibility and Audit</w:t>
      </w:r>
    </w:p>
    <w:p w14:paraId="73D942BE" w14:textId="77777777" w:rsidR="009B5AA7" w:rsidRDefault="00000000">
      <w:pPr>
        <w:rPr>
          <w:rFonts w:hint="eastAsia"/>
        </w:rPr>
      </w:pPr>
      <w:r>
        <w:t>The repository separates executable scripts, reusable source modules, reader-facing notebooks, generated result tables, figures, and audit evidence. The environment is declared in pyproject.toml and locked by uv.lock. Raw data and trained artifacts remain local. The checked-in tables and figures can be reviewed without downloading the dataset.</w:t>
      </w:r>
    </w:p>
    <w:p w14:paraId="70E26F07" w14:textId="77777777" w:rsidR="009B5AA7" w:rsidRDefault="00000000">
      <w:pPr>
        <w:rPr>
          <w:rFonts w:hint="eastAsia"/>
        </w:rPr>
      </w:pPr>
      <w:r>
        <w:t>An independent row-level reconciliation recomputed cumulative gain, group effects, AUUC, Qini, and paired uncertainty from 2,795,749 held-out records for each outcome. All 11 analytical guardrail tests pass. The four notebooks execute successfully and contain no code-cell errors. The published result-file fingerprints remained unchanged during the final code refactor.</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6048"/>
      </w:tblGrid>
      <w:tr w:rsidR="009B5AA7" w14:paraId="5B048A23" w14:textId="77777777">
        <w:trPr>
          <w:tblHeader/>
        </w:trPr>
        <w:tc>
          <w:tcPr>
            <w:tcW w:w="3024" w:type="dxa"/>
            <w:shd w:val="clear" w:color="auto" w:fill="17365D"/>
            <w:tcMar>
              <w:top w:w="110" w:type="dxa"/>
              <w:left w:w="100" w:type="dxa"/>
              <w:bottom w:w="110" w:type="dxa"/>
              <w:right w:w="100" w:type="dxa"/>
            </w:tcMar>
            <w:vAlign w:val="center"/>
          </w:tcPr>
          <w:p w14:paraId="39CA510F" w14:textId="77777777" w:rsidR="009B5AA7" w:rsidRDefault="00000000">
            <w:pPr>
              <w:spacing w:after="0"/>
              <w:jc w:val="center"/>
              <w:rPr>
                <w:rFonts w:hint="eastAsia"/>
              </w:rPr>
            </w:pPr>
            <w:r>
              <w:rPr>
                <w:b/>
                <w:color w:val="FFFFFF"/>
                <w:sz w:val="17"/>
              </w:rPr>
              <w:t>Audit control</w:t>
            </w:r>
          </w:p>
        </w:tc>
        <w:tc>
          <w:tcPr>
            <w:tcW w:w="6048" w:type="dxa"/>
            <w:shd w:val="clear" w:color="auto" w:fill="17365D"/>
            <w:tcMar>
              <w:top w:w="110" w:type="dxa"/>
              <w:left w:w="100" w:type="dxa"/>
              <w:bottom w:w="110" w:type="dxa"/>
              <w:right w:w="100" w:type="dxa"/>
            </w:tcMar>
            <w:vAlign w:val="center"/>
          </w:tcPr>
          <w:p w14:paraId="21948D7C" w14:textId="77777777" w:rsidR="009B5AA7" w:rsidRDefault="00000000">
            <w:pPr>
              <w:spacing w:after="0"/>
              <w:jc w:val="center"/>
              <w:rPr>
                <w:rFonts w:hint="eastAsia"/>
              </w:rPr>
            </w:pPr>
            <w:r>
              <w:rPr>
                <w:b/>
                <w:color w:val="FFFFFF"/>
                <w:sz w:val="17"/>
              </w:rPr>
              <w:t>Purpose</w:t>
            </w:r>
          </w:p>
        </w:tc>
      </w:tr>
      <w:tr w:rsidR="009B5AA7" w14:paraId="272E7A8A" w14:textId="77777777">
        <w:trPr>
          <w:cantSplit/>
        </w:trPr>
        <w:tc>
          <w:tcPr>
            <w:tcW w:w="3024" w:type="dxa"/>
            <w:tcMar>
              <w:top w:w="90" w:type="dxa"/>
              <w:left w:w="100" w:type="dxa"/>
              <w:bottom w:w="90" w:type="dxa"/>
              <w:right w:w="100" w:type="dxa"/>
            </w:tcMar>
            <w:vAlign w:val="center"/>
          </w:tcPr>
          <w:p w14:paraId="5834547A" w14:textId="77777777" w:rsidR="009B5AA7" w:rsidRDefault="00000000">
            <w:pPr>
              <w:spacing w:after="0" w:line="240" w:lineRule="auto"/>
              <w:rPr>
                <w:rFonts w:hint="eastAsia"/>
              </w:rPr>
            </w:pPr>
            <w:r>
              <w:rPr>
                <w:sz w:val="17"/>
              </w:rPr>
              <w:t>Feature allowlist</w:t>
            </w:r>
          </w:p>
        </w:tc>
        <w:tc>
          <w:tcPr>
            <w:tcW w:w="6048" w:type="dxa"/>
            <w:tcMar>
              <w:top w:w="90" w:type="dxa"/>
              <w:left w:w="100" w:type="dxa"/>
              <w:bottom w:w="90" w:type="dxa"/>
              <w:right w:w="100" w:type="dxa"/>
            </w:tcMar>
            <w:vAlign w:val="center"/>
          </w:tcPr>
          <w:p w14:paraId="6A99BE82" w14:textId="77777777" w:rsidR="009B5AA7" w:rsidRDefault="00000000">
            <w:pPr>
              <w:spacing w:after="0" w:line="240" w:lineRule="auto"/>
              <w:rPr>
                <w:rFonts w:hint="eastAsia"/>
              </w:rPr>
            </w:pPr>
            <w:r>
              <w:rPr>
                <w:sz w:val="17"/>
              </w:rPr>
              <w:t>Prevents exposure, outcome, split, and row-ID leakage</w:t>
            </w:r>
          </w:p>
        </w:tc>
      </w:tr>
      <w:tr w:rsidR="009B5AA7" w14:paraId="1570E019" w14:textId="77777777">
        <w:trPr>
          <w:cantSplit/>
        </w:trPr>
        <w:tc>
          <w:tcPr>
            <w:tcW w:w="3024" w:type="dxa"/>
            <w:shd w:val="clear" w:color="auto" w:fill="F5F7FA"/>
            <w:tcMar>
              <w:top w:w="90" w:type="dxa"/>
              <w:left w:w="100" w:type="dxa"/>
              <w:bottom w:w="90" w:type="dxa"/>
              <w:right w:w="100" w:type="dxa"/>
            </w:tcMar>
            <w:vAlign w:val="center"/>
          </w:tcPr>
          <w:p w14:paraId="3D1FB688" w14:textId="77777777" w:rsidR="009B5AA7" w:rsidRDefault="00000000">
            <w:pPr>
              <w:spacing w:after="0" w:line="240" w:lineRule="auto"/>
              <w:rPr>
                <w:rFonts w:hint="eastAsia"/>
              </w:rPr>
            </w:pPr>
            <w:r>
              <w:rPr>
                <w:sz w:val="17"/>
              </w:rPr>
              <w:t>Null test outcomes in score artifacts</w:t>
            </w:r>
          </w:p>
        </w:tc>
        <w:tc>
          <w:tcPr>
            <w:tcW w:w="6048" w:type="dxa"/>
            <w:shd w:val="clear" w:color="auto" w:fill="F5F7FA"/>
            <w:tcMar>
              <w:top w:w="90" w:type="dxa"/>
              <w:left w:w="100" w:type="dxa"/>
              <w:bottom w:w="90" w:type="dxa"/>
              <w:right w:w="100" w:type="dxa"/>
            </w:tcMar>
            <w:vAlign w:val="center"/>
          </w:tcPr>
          <w:p w14:paraId="04AA544E" w14:textId="77777777" w:rsidR="009B5AA7" w:rsidRDefault="00000000">
            <w:pPr>
              <w:spacing w:after="0" w:line="240" w:lineRule="auto"/>
              <w:rPr>
                <w:rFonts w:hint="eastAsia"/>
              </w:rPr>
            </w:pPr>
            <w:r>
              <w:rPr>
                <w:sz w:val="17"/>
              </w:rPr>
              <w:t>Prevents held-out labels from influencing model scoring</w:t>
            </w:r>
          </w:p>
        </w:tc>
      </w:tr>
      <w:tr w:rsidR="009B5AA7" w14:paraId="7337FDC6" w14:textId="77777777">
        <w:trPr>
          <w:cantSplit/>
        </w:trPr>
        <w:tc>
          <w:tcPr>
            <w:tcW w:w="3024" w:type="dxa"/>
            <w:tcMar>
              <w:top w:w="90" w:type="dxa"/>
              <w:left w:w="100" w:type="dxa"/>
              <w:bottom w:w="90" w:type="dxa"/>
              <w:right w:w="100" w:type="dxa"/>
            </w:tcMar>
            <w:vAlign w:val="center"/>
          </w:tcPr>
          <w:p w14:paraId="2651D58F" w14:textId="77777777" w:rsidR="009B5AA7" w:rsidRDefault="00000000">
            <w:pPr>
              <w:spacing w:after="0" w:line="240" w:lineRule="auto"/>
              <w:rPr>
                <w:rFonts w:hint="eastAsia"/>
              </w:rPr>
            </w:pPr>
            <w:r>
              <w:rPr>
                <w:sz w:val="17"/>
              </w:rPr>
              <w:t>Ranking direction and deterministic ties</w:t>
            </w:r>
          </w:p>
        </w:tc>
        <w:tc>
          <w:tcPr>
            <w:tcW w:w="6048" w:type="dxa"/>
            <w:tcMar>
              <w:top w:w="90" w:type="dxa"/>
              <w:left w:w="100" w:type="dxa"/>
              <w:bottom w:w="90" w:type="dxa"/>
              <w:right w:w="100" w:type="dxa"/>
            </w:tcMar>
            <w:vAlign w:val="center"/>
          </w:tcPr>
          <w:p w14:paraId="2C7A8473" w14:textId="77777777" w:rsidR="009B5AA7" w:rsidRDefault="00000000">
            <w:pPr>
              <w:spacing w:after="0" w:line="240" w:lineRule="auto"/>
              <w:rPr>
                <w:rFonts w:hint="eastAsia"/>
              </w:rPr>
            </w:pPr>
            <w:r>
              <w:rPr>
                <w:sz w:val="17"/>
              </w:rPr>
              <w:t>Ensures the highest scores are selected consistently</w:t>
            </w:r>
          </w:p>
        </w:tc>
      </w:tr>
      <w:tr w:rsidR="009B5AA7" w14:paraId="29E95BA7" w14:textId="77777777">
        <w:trPr>
          <w:cantSplit/>
        </w:trPr>
        <w:tc>
          <w:tcPr>
            <w:tcW w:w="3024" w:type="dxa"/>
            <w:shd w:val="clear" w:color="auto" w:fill="F5F7FA"/>
            <w:tcMar>
              <w:top w:w="90" w:type="dxa"/>
              <w:left w:w="100" w:type="dxa"/>
              <w:bottom w:w="90" w:type="dxa"/>
              <w:right w:w="100" w:type="dxa"/>
            </w:tcMar>
            <w:vAlign w:val="center"/>
          </w:tcPr>
          <w:p w14:paraId="460F9881" w14:textId="77777777" w:rsidR="009B5AA7" w:rsidRDefault="00000000">
            <w:pPr>
              <w:spacing w:after="0" w:line="240" w:lineRule="auto"/>
              <w:rPr>
                <w:rFonts w:hint="eastAsia"/>
              </w:rPr>
            </w:pPr>
            <w:r>
              <w:rPr>
                <w:sz w:val="17"/>
              </w:rPr>
              <w:t>Common 100% endpoint</w:t>
            </w:r>
          </w:p>
        </w:tc>
        <w:tc>
          <w:tcPr>
            <w:tcW w:w="6048" w:type="dxa"/>
            <w:shd w:val="clear" w:color="auto" w:fill="F5F7FA"/>
            <w:tcMar>
              <w:top w:w="90" w:type="dxa"/>
              <w:left w:w="100" w:type="dxa"/>
              <w:bottom w:w="90" w:type="dxa"/>
              <w:right w:w="100" w:type="dxa"/>
            </w:tcMar>
            <w:vAlign w:val="center"/>
          </w:tcPr>
          <w:p w14:paraId="5F5A6534" w14:textId="77777777" w:rsidR="009B5AA7" w:rsidRDefault="00000000">
            <w:pPr>
              <w:spacing w:after="0" w:line="240" w:lineRule="auto"/>
              <w:rPr>
                <w:rFonts w:hint="eastAsia"/>
              </w:rPr>
            </w:pPr>
            <w:r>
              <w:rPr>
                <w:sz w:val="17"/>
              </w:rPr>
              <w:t>Detects treatment-direction, denominator, or population mismatches</w:t>
            </w:r>
          </w:p>
        </w:tc>
      </w:tr>
      <w:tr w:rsidR="009B5AA7" w14:paraId="6463C045" w14:textId="77777777">
        <w:trPr>
          <w:cantSplit/>
        </w:trPr>
        <w:tc>
          <w:tcPr>
            <w:tcW w:w="3024" w:type="dxa"/>
            <w:tcMar>
              <w:top w:w="90" w:type="dxa"/>
              <w:left w:w="100" w:type="dxa"/>
              <w:bottom w:w="90" w:type="dxa"/>
              <w:right w:w="100" w:type="dxa"/>
            </w:tcMar>
            <w:vAlign w:val="center"/>
          </w:tcPr>
          <w:p w14:paraId="786DCE63" w14:textId="77777777" w:rsidR="009B5AA7" w:rsidRDefault="00000000">
            <w:pPr>
              <w:spacing w:after="0" w:line="240" w:lineRule="auto"/>
              <w:rPr>
                <w:rFonts w:hint="eastAsia"/>
              </w:rPr>
            </w:pPr>
            <w:r>
              <w:rPr>
                <w:sz w:val="17"/>
              </w:rPr>
              <w:t>Paired bootstrap differences</w:t>
            </w:r>
          </w:p>
        </w:tc>
        <w:tc>
          <w:tcPr>
            <w:tcW w:w="6048" w:type="dxa"/>
            <w:tcMar>
              <w:top w:w="90" w:type="dxa"/>
              <w:left w:w="100" w:type="dxa"/>
              <w:bottom w:w="90" w:type="dxa"/>
              <w:right w:w="100" w:type="dxa"/>
            </w:tcMar>
            <w:vAlign w:val="center"/>
          </w:tcPr>
          <w:p w14:paraId="27939910" w14:textId="77777777" w:rsidR="009B5AA7" w:rsidRDefault="00000000">
            <w:pPr>
              <w:spacing w:after="0" w:line="240" w:lineRule="auto"/>
              <w:rPr>
                <w:rFonts w:hint="eastAsia"/>
              </w:rPr>
            </w:pPr>
            <w:r>
              <w:rPr>
                <w:sz w:val="17"/>
              </w:rPr>
              <w:t>Preserves dependence among rankings evaluated on the same records</w:t>
            </w:r>
          </w:p>
        </w:tc>
      </w:tr>
      <w:tr w:rsidR="009B5AA7" w14:paraId="62D2A3B5" w14:textId="77777777">
        <w:trPr>
          <w:cantSplit/>
        </w:trPr>
        <w:tc>
          <w:tcPr>
            <w:tcW w:w="3024" w:type="dxa"/>
            <w:shd w:val="clear" w:color="auto" w:fill="F5F7FA"/>
            <w:tcMar>
              <w:top w:w="90" w:type="dxa"/>
              <w:left w:w="100" w:type="dxa"/>
              <w:bottom w:w="90" w:type="dxa"/>
              <w:right w:w="100" w:type="dxa"/>
            </w:tcMar>
            <w:vAlign w:val="center"/>
          </w:tcPr>
          <w:p w14:paraId="61D3FF84" w14:textId="77777777" w:rsidR="009B5AA7" w:rsidRDefault="00000000">
            <w:pPr>
              <w:spacing w:after="0" w:line="240" w:lineRule="auto"/>
              <w:rPr>
                <w:rFonts w:hint="eastAsia"/>
              </w:rPr>
            </w:pPr>
            <w:r>
              <w:rPr>
                <w:sz w:val="17"/>
              </w:rPr>
              <w:t>Independent reconciliation</w:t>
            </w:r>
          </w:p>
        </w:tc>
        <w:tc>
          <w:tcPr>
            <w:tcW w:w="6048" w:type="dxa"/>
            <w:shd w:val="clear" w:color="auto" w:fill="F5F7FA"/>
            <w:tcMar>
              <w:top w:w="90" w:type="dxa"/>
              <w:left w:w="100" w:type="dxa"/>
              <w:bottom w:w="90" w:type="dxa"/>
              <w:right w:w="100" w:type="dxa"/>
            </w:tcMar>
            <w:vAlign w:val="center"/>
          </w:tcPr>
          <w:p w14:paraId="1CFE4CBD" w14:textId="77777777" w:rsidR="009B5AA7" w:rsidRDefault="00000000">
            <w:pPr>
              <w:spacing w:after="0" w:line="240" w:lineRule="auto"/>
              <w:rPr>
                <w:rFonts w:hint="eastAsia"/>
              </w:rPr>
            </w:pPr>
            <w:r>
              <w:rPr>
                <w:sz w:val="17"/>
              </w:rPr>
              <w:t>Recomputes saved tables from row-level scores and outcomes</w:t>
            </w:r>
          </w:p>
        </w:tc>
      </w:tr>
    </w:tbl>
    <w:p w14:paraId="45DF47AC" w14:textId="77777777" w:rsidR="009B5AA7" w:rsidRDefault="009B5AA7">
      <w:pPr>
        <w:spacing w:after="0"/>
        <w:rPr>
          <w:rFonts w:hint="eastAsia"/>
        </w:rPr>
      </w:pPr>
    </w:p>
    <w:p w14:paraId="21CD610F" w14:textId="77777777" w:rsidR="009B5AA7" w:rsidRDefault="00000000">
      <w:pPr>
        <w:pStyle w:val="1"/>
      </w:pPr>
      <w:r>
        <w:t>Conclusion</w:t>
      </w:r>
    </w:p>
    <w:p w14:paraId="5F11528A" w14:textId="30B13E57" w:rsidR="009B5AA7" w:rsidRDefault="00000000">
      <w:pPr>
        <w:rPr>
          <w:rFonts w:hint="eastAsia"/>
        </w:rPr>
      </w:pPr>
      <w:r>
        <w:t>The randomized experiment shows that advertising creates measurable incremental value, increasing Visit rate by 1.034 percentage points and Conversion rate by 0.115 percentage points. The targeting analysis further demonstrates that this value can be allocated more efficiently when the business objective is Visit growth: targeting the top 10% of records ranked by the S-Learner captures 62.0% of the estimated full-population incremental visits, generating approximately 17,919 incremental visits and 3,805 more than conventional response targeting while serving only 10% of the population. This indicates a meaningful opportunity to reduce unnecessary advertising exposure or concentrate a limited budget on users whose behavior is more likely to change. The same conclusion does not extend to Conversion, where the tested uplift learners fail to outperform response propensity and perform significantly worse at the tightest budgets. The recommended strategy is therefore objective-specific: advance the S-Learner to prospective validation for Visit-focused campaigns, while retaining response propensity as the Conversion benchmark.</w:t>
      </w:r>
    </w:p>
    <w:sectPr w:rsidR="009B5AA7" w:rsidSect="00034616">
      <w:footerReference w:type="default" r:id="rId15"/>
      <w:pgSz w:w="12240" w:h="15840"/>
      <w:pgMar w:top="1037" w:right="1123" w:bottom="979"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94E150" w14:textId="77777777" w:rsidR="00E13640" w:rsidRDefault="00E13640">
      <w:pPr>
        <w:spacing w:after="0" w:line="240" w:lineRule="auto"/>
        <w:rPr>
          <w:rFonts w:hint="eastAsia"/>
        </w:rPr>
      </w:pPr>
      <w:r>
        <w:separator/>
      </w:r>
    </w:p>
  </w:endnote>
  <w:endnote w:type="continuationSeparator" w:id="0">
    <w:p w14:paraId="670887E7" w14:textId="77777777" w:rsidR="00E13640" w:rsidRDefault="00E1364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C5B483" w14:textId="77777777" w:rsidR="009B5AA7" w:rsidRDefault="00000000">
    <w:pPr>
      <w:pStyle w:val="a7"/>
      <w:jc w:val="center"/>
      <w:rPr>
        <w:rFonts w:hint="eastAsia"/>
      </w:rPr>
    </w:pPr>
    <w:r>
      <w:rPr>
        <w:color w:val="4B5563"/>
        <w:sz w:val="16"/>
      </w:rPr>
      <w:t xml:space="preserve">Page </w:t>
    </w:r>
    <w:r>
      <w:rPr>
        <w:color w:val="4B5563"/>
        <w:sz w:val="16"/>
      </w:rPr>
      <w:fldChar w:fldCharType="begin"/>
    </w:r>
    <w:r>
      <w:rPr>
        <w:color w:val="4B5563"/>
        <w:sz w:val="16"/>
      </w:rPr>
      <w:instrText xml:space="preserve"> PAGE </w:instrText>
    </w:r>
    <w:r w:rsidR="00407164">
      <w:rPr>
        <w:color w:val="4B5563"/>
        <w:sz w:val="16"/>
      </w:rPr>
      <w:fldChar w:fldCharType="separate"/>
    </w:r>
    <w:r w:rsidR="00407164">
      <w:rPr>
        <w:noProof/>
        <w:color w:val="4B5563"/>
        <w:sz w:val="16"/>
      </w:rPr>
      <w:t>1</w:t>
    </w:r>
    <w:r>
      <w:rPr>
        <w:color w:val="4B556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AB46A1" w14:textId="77777777" w:rsidR="00E13640" w:rsidRDefault="00E13640">
      <w:pPr>
        <w:spacing w:after="0" w:line="240" w:lineRule="auto"/>
        <w:rPr>
          <w:rFonts w:hint="eastAsia"/>
        </w:rPr>
      </w:pPr>
      <w:r>
        <w:separator/>
      </w:r>
    </w:p>
  </w:footnote>
  <w:footnote w:type="continuationSeparator" w:id="0">
    <w:p w14:paraId="30C84B42" w14:textId="77777777" w:rsidR="00E13640" w:rsidRDefault="00E1364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88364118">
    <w:abstractNumId w:val="8"/>
  </w:num>
  <w:num w:numId="2" w16cid:durableId="88234410">
    <w:abstractNumId w:val="6"/>
  </w:num>
  <w:num w:numId="3" w16cid:durableId="1557004905">
    <w:abstractNumId w:val="5"/>
  </w:num>
  <w:num w:numId="4" w16cid:durableId="121047097">
    <w:abstractNumId w:val="4"/>
  </w:num>
  <w:num w:numId="5" w16cid:durableId="399793364">
    <w:abstractNumId w:val="7"/>
  </w:num>
  <w:num w:numId="6" w16cid:durableId="1454441883">
    <w:abstractNumId w:val="3"/>
  </w:num>
  <w:num w:numId="7" w16cid:durableId="1189371317">
    <w:abstractNumId w:val="2"/>
  </w:num>
  <w:num w:numId="8" w16cid:durableId="571087090">
    <w:abstractNumId w:val="1"/>
  </w:num>
  <w:num w:numId="9" w16cid:durableId="207469285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7"/>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723B"/>
    <w:rsid w:val="0029639D"/>
    <w:rsid w:val="00326F90"/>
    <w:rsid w:val="003A53A0"/>
    <w:rsid w:val="00407164"/>
    <w:rsid w:val="00445711"/>
    <w:rsid w:val="00743A39"/>
    <w:rsid w:val="009B5AA7"/>
    <w:rsid w:val="00AA1D8D"/>
    <w:rsid w:val="00B47730"/>
    <w:rsid w:val="00CB0664"/>
    <w:rsid w:val="00E13640"/>
    <w:rsid w:val="00E92D7D"/>
    <w:rsid w:val="00F045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487AE0"/>
  <w14:defaultImageDpi w14:val="300"/>
  <w15:docId w15:val="{01D3E18A-566A-3846-A5BE-BBF697E07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9" w:lineRule="auto"/>
    </w:pPr>
    <w:rPr>
      <w:rFonts w:ascii="Aptos" w:hAnsi="Aptos"/>
      <w:color w:val="1F2937"/>
      <w:sz w:val="20"/>
    </w:rPr>
  </w:style>
  <w:style w:type="paragraph" w:styleId="1">
    <w:name w:val="heading 1"/>
    <w:basedOn w:val="a1"/>
    <w:next w:val="a1"/>
    <w:link w:val="10"/>
    <w:uiPriority w:val="9"/>
    <w:qFormat/>
    <w:rsid w:val="00FC693F"/>
    <w:pPr>
      <w:keepNext/>
      <w:keepLines/>
      <w:spacing w:before="300" w:after="140"/>
      <w:outlineLvl w:val="0"/>
    </w:pPr>
    <w:rPr>
      <w:rFonts w:asciiTheme="majorHAnsi" w:eastAsiaTheme="majorEastAsia" w:hAnsiTheme="majorHAnsi" w:cstheme="majorBidi"/>
      <w:b/>
      <w:bCs/>
      <w:color w:val="000000"/>
      <w:sz w:val="34"/>
      <w:szCs w:val="28"/>
    </w:rPr>
  </w:style>
  <w:style w:type="paragraph" w:styleId="21">
    <w:name w:val="heading 2"/>
    <w:basedOn w:val="a1"/>
    <w:next w:val="a1"/>
    <w:link w:val="22"/>
    <w:uiPriority w:val="9"/>
    <w:unhideWhenUsed/>
    <w:qFormat/>
    <w:rsid w:val="00FC693F"/>
    <w:pPr>
      <w:keepNext/>
      <w:keepLines/>
      <w:spacing w:before="220" w:after="100"/>
      <w:outlineLvl w:val="1"/>
    </w:pPr>
    <w:rPr>
      <w:rFonts w:asciiTheme="majorHAnsi" w:eastAsiaTheme="majorEastAsia" w:hAnsiTheme="majorHAnsi" w:cstheme="majorBidi"/>
      <w:b/>
      <w:bCs/>
      <w:color w:val="000000"/>
      <w:sz w:val="25"/>
      <w:szCs w:val="26"/>
    </w:rPr>
  </w:style>
  <w:style w:type="paragraph" w:styleId="31">
    <w:name w:val="heading 3"/>
    <w:basedOn w:val="a1"/>
    <w:next w:val="a1"/>
    <w:link w:val="32"/>
    <w:uiPriority w:val="9"/>
    <w:unhideWhenUsed/>
    <w:qFormat/>
    <w:rsid w:val="00FC693F"/>
    <w:pPr>
      <w:keepNext/>
      <w:keepLines/>
      <w:spacing w:before="180" w:after="80"/>
      <w:outlineLvl w:val="2"/>
    </w:pPr>
    <w:rPr>
      <w:rFonts w:asciiTheme="majorHAnsi" w:eastAsiaTheme="majorEastAsia" w:hAnsiTheme="majorHAnsi" w:cstheme="majorBidi"/>
      <w:b/>
      <w:bCs/>
      <w:color w:val="000000"/>
      <w:sz w:val="2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after="200" w:line="240" w:lineRule="auto"/>
      <w:contextualSpacing/>
    </w:pPr>
    <w:rPr>
      <w:rFonts w:asciiTheme="majorHAnsi" w:eastAsiaTheme="majorEastAsia" w:hAnsiTheme="majorHAnsi" w:cstheme="majorBidi"/>
      <w:b/>
      <w:color w:val="000000"/>
      <w:spacing w:val="5"/>
      <w:kern w:val="28"/>
      <w:sz w:val="5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B5563"/>
      <w:spacing w:val="15"/>
      <w:sz w:val="26"/>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before="100" w:after="80" w:line="240" w:lineRule="auto"/>
    </w:pPr>
    <w:rPr>
      <w:b/>
      <w:bCs/>
      <w:i/>
      <w:color w:val="4B5563"/>
      <w:sz w:val="17"/>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10</Pages>
  <Words>2098</Words>
  <Characters>11961</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AdLift Advertising Incrementality and Uplift Targeting</dc:title>
  <dc:subject>Final project report</dc:subject>
  <dc:creator>python-docx</dc:creator>
  <cp:keywords>uplift modeling, advertising incrementality, causal inference, targeting, Criteo</cp:keywords>
  <dc:description>Editable English final report generated from audited AdLift project results.</dc:description>
  <cp:lastModifiedBy>HAN YANG</cp:lastModifiedBy>
  <cp:revision>5</cp:revision>
  <dcterms:created xsi:type="dcterms:W3CDTF">2013-12-23T23:15:00Z</dcterms:created>
  <dcterms:modified xsi:type="dcterms:W3CDTF">2026-09-05T20:37:00Z</dcterms:modified>
  <cp:category/>
</cp:coreProperties>
</file>