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Calibri" w:cs="Calibri" w:eastAsia="Calibri" w:hAnsi="Calibri"/>
          <w:b/>
          <w:bCs/>
          <w:color w:val="1A3A5C"/>
          <w:spacing w:val="40"/>
          <w:sz w:val="26"/>
          <w:szCs w:val="26"/>
        </w:rPr>
        <w:t xml:space="preserve">CSS PARSER</w:t>
      </w:r>
    </w:p>
    <w:p>
      <w:pPr>
        <w:spacing w:after="0" w:before="100"/>
        <w:jc w:val="center"/>
      </w:pPr>
      <w:r>
        <w:rPr>
          <w:rFonts w:ascii="Calibri" w:cs="Calibri" w:eastAsia="Calibri" w:hAnsi="Calibri"/>
          <w:b/>
          <w:bCs/>
          <w:color w:val="1A3A5C"/>
          <w:sz w:val="60"/>
          <w:szCs w:val="60"/>
        </w:rPr>
        <w:t xml:space="preserve">Evaluation Metrics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1A3A5C"/>
          <w:sz w:val="40"/>
          <w:szCs w:val="40"/>
        </w:rPr>
        <w:t xml:space="preserve">Performance and Correctness</w:t>
      </w:r>
    </w:p>
    <w:p>
      <w:pPr>
        <w:spacing w:after="0" w:before="22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What gets measured, how it gets measured, and what “good” means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for a hand-written, recursive-descent CSS parser in Rust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Draft 0.1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23 August 2026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Companion to “CSS Parser — Technical Specification”, Draft 0.1</w:t>
      </w:r>
    </w:p>
    <w:p>
      <w:pPr>
        <w:spacing w:after="0" w:before="1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extends that document's Section 10 (Testing &amp; Validation Strategy) with concrete metrics, tooling, and acceptance thresholds</w:t>
      </w:r>
    </w:p>
    <w:p>
      <w:r>
        <w:br w:type="page"/>
      </w:r>
    </w:p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Table of Contents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 Purpose &amp; Scope</w:t>
      </w:r>
      <w:r>
        <w:rPr>
          <w:rFonts w:ascii="Calibri" w:cs="Calibri" w:eastAsia="Calibri" w:hAnsi="Calibri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 Correctness Metrics</w:t>
      </w:r>
      <w:r>
        <w:rPr>
          <w:rFonts w:ascii="Calibri" w:cs="Calibri" w:eastAsia="Calibri" w:hAnsi="Calibri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 Performance Metrics</w:t>
      </w:r>
      <w:r>
        <w:rPr>
          <w:rFonts w:ascii="Calibri" w:cs="Calibri" w:eastAsia="Calibri" w:hAnsi="Calibri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 Tooling &amp; Methodology</w:t>
      </w:r>
      <w:r>
        <w:rPr>
          <w:rFonts w:ascii="Calibri" w:cs="Calibri" w:eastAsia="Calibri" w:hAnsi="Calibri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 Acceptance Criteria by Roadmap Milestone</w:t>
      </w:r>
      <w:r>
        <w:rPr>
          <w:rFonts w:ascii="Calibri" w:cs="Calibri" w:eastAsia="Calibri" w:hAnsi="Calibri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 Reporting: Scorecard Template</w:t>
      </w:r>
      <w:r>
        <w:rPr>
          <w:rFonts w:ascii="Calibri" w:cs="Calibri" w:eastAsia="Calibri" w:hAnsi="Calibri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9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 References</w:t>
      </w:r>
      <w:r>
        <w:rPr>
          <w:rFonts w:ascii="Calibri" w:cs="Calibri" w:eastAsia="Calibri" w:hAnsi="Calibri"/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1. Purpose &amp; Scope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main specification's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10, Testing &amp; Validation Strategy</w:t>
      </w:r>
      <w:r>
        <w:rPr>
          <w:rFonts w:ascii="Calibri" w:cs="Calibri" w:eastAsia="Calibri" w:hAnsi="Calibri"/>
          <w:sz w:val="22"/>
          <w:szCs w:val="22"/>
        </w:rPr>
        <w:t xml:space="preserve">,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kinds</w:t>
      </w:r>
      <w:r>
        <w:rPr>
          <w:rFonts w:ascii="Calibri" w:cs="Calibri" w:eastAsia="Calibri" w:hAnsi="Calibri"/>
          <w:sz w:val="22"/>
          <w:szCs w:val="22"/>
        </w:rPr>
        <w:t xml:space="preserve"> of tests the parser needs — conformance, unit, fuzz, differential. It deliberately stops short of two things a real evaluation needs: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numeric targets</w:t>
      </w:r>
      <w:r>
        <w:rPr>
          <w:rFonts w:ascii="Calibri" w:cs="Calibri" w:eastAsia="Calibri" w:hAnsi="Calibri"/>
          <w:sz w:val="22"/>
          <w:szCs w:val="22"/>
        </w:rPr>
        <w:t xml:space="preserve"> (what counts as passing)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methodology</w:t>
      </w:r>
      <w:r>
        <w:rPr>
          <w:rFonts w:ascii="Calibri" w:cs="Calibri" w:eastAsia="Calibri" w:hAnsi="Calibri"/>
          <w:sz w:val="22"/>
          <w:szCs w:val="22"/>
        </w:rPr>
        <w:t xml:space="preserve"> (how speed and memory get measured at all). This document is that missing half. Everything here is additive to Section 10, not a replacement for it — cross-references use the </w:t>
      </w:r>
      <w:r>
        <w:rPr>
          <w:rFonts w:ascii="Consolas" w:cs="Consolas" w:eastAsia="Consolas" w:hAnsi="Consolas"/>
          <w:sz w:val="20"/>
          <w:szCs w:val="20"/>
        </w:rPr>
        <w:t xml:space="preserve">§10.x</w:t>
      </w:r>
      <w:r>
        <w:rPr>
          <w:rFonts w:ascii="Calibri" w:cs="Calibri" w:eastAsia="Calibri" w:hAnsi="Calibri"/>
          <w:sz w:val="22"/>
          <w:szCs w:val="22"/>
        </w:rPr>
        <w:t xml:space="preserve"> form throughout.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Two questions this document answers directly: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“How do we know it's correct?”</w:t>
      </w:r>
      <w:r>
        <w:rPr>
          <w:rFonts w:ascii="Calibri" w:cs="Calibri" w:eastAsia="Calibri" w:hAnsi="Calibri"/>
          <w:sz w:val="22"/>
          <w:szCs w:val="22"/>
        </w:rPr>
        <w:t xml:space="preserve"> (Section 2)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“How do we know it's fast enough?”</w:t>
      </w:r>
      <w:r>
        <w:rPr>
          <w:rFonts w:ascii="Calibri" w:cs="Calibri" w:eastAsia="Calibri" w:hAnsi="Calibri"/>
          <w:sz w:val="22"/>
          <w:szCs w:val="22"/>
        </w:rPr>
        <w:t xml:space="preserve"> (Section 3), plus the tooling to actually produce those numbers (Section 4) and a per-milestone gate so “done” has a definition (Section 5).</w:t>
      </w:r>
    </w:p>
    <w:p>
      <w:pPr>
        <w:pStyle w:val="Heading2"/>
        <w:spacing w:after="140" w:before="320"/>
      </w:pPr>
      <w:r>
        <w:t xml:space="preserve">1.1 A note on what “correct” means here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Per the main spec's Section 8 scope boundary, this crate is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syntax-level</w:t>
      </w:r>
      <w:r>
        <w:rPr>
          <w:rFonts w:ascii="Calibri" w:cs="Calibri" w:eastAsia="Calibri" w:hAnsi="Calibri"/>
          <w:sz w:val="22"/>
          <w:szCs w:val="22"/>
        </w:rPr>
        <w:t xml:space="preserve"> parser — it does not validate that </w:t>
      </w:r>
      <w:r>
        <w:rPr>
          <w:rFonts w:ascii="Consolas" w:cs="Consolas" w:eastAsia="Consolas" w:hAnsi="Consolas"/>
          <w:sz w:val="20"/>
          <w:szCs w:val="20"/>
        </w:rPr>
        <w:t xml:space="preserve">color: 16px</w:t>
      </w:r>
      <w:r>
        <w:rPr>
          <w:rFonts w:ascii="Calibri" w:cs="Calibri" w:eastAsia="Calibri" w:hAnsi="Calibri"/>
          <w:sz w:val="22"/>
          <w:szCs w:val="22"/>
        </w:rPr>
        <w:t xml:space="preserve"> is nonsensical, because that's a property-specific grammar question, not a syntax question. Correctness in this document is scoped the same way: every correctness metric below asks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“did the tokenizer/parser produce the structure the CSS Syntax algorithms say it should”</w:t>
      </w:r>
      <w:r>
        <w:rPr>
          <w:rFonts w:ascii="Calibri" w:cs="Calibri" w:eastAsia="Calibri" w:hAnsi="Calibri"/>
          <w:sz w:val="22"/>
          <w:szCs w:val="22"/>
        </w:rPr>
        <w:t xml:space="preserve">, never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“is this CSS meaningful.”</w:t>
      </w:r>
      <w:r>
        <w:rPr>
          <w:rFonts w:ascii="Calibri" w:cs="Calibri" w:eastAsia="Calibri" w:hAnsi="Calibri"/>
          <w:sz w:val="22"/>
          <w:szCs w:val="22"/>
        </w:rPr>
        <w:t xml:space="preserve"> That distinction matters for reading the metrics honestly — 100% conformance here is a claim about grammar fidelity, not about being a browser.</w:t>
      </w:r>
    </w:p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2. Correctness Metrics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Six metrics, each answering a different failure mode. None of them alone is sufficient — a parser can pass a conformance suite and still panic on adversarial input, or never panic and still silently mis-tokenize escapes. Section 5 ties each of these to a specific roadmap milestone so they're checked incrementally, not just at the end.</w:t>
      </w:r>
    </w:p>
    <w:p>
      <w:pPr>
        <w:pStyle w:val="Heading2"/>
        <w:spacing w:after="140" w:before="320"/>
      </w:pPr>
      <w:r>
        <w:t xml:space="preserve">2.1 Conformance suite pass rate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primary correctness oracle, per main-spec §10.1: the </w:t>
      </w:r>
      <w:hyperlink w:history="1" r:id="rIda2sc5z9wyrkqzyr09kvz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web-platform-tests</w:t>
        </w:r>
      </w:hyperlink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css/css-syntax</w:t>
      </w:r>
      <w:r>
        <w:rPr>
          <w:rFonts w:ascii="Calibri" w:cs="Calibri" w:eastAsia="Calibri" w:hAnsi="Calibri"/>
          <w:sz w:val="22"/>
          <w:szCs w:val="22"/>
        </w:rPr>
        <w:t xml:space="preserve"> suite. Report pass rate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broken down by category</w:t>
      </w:r>
      <w:r>
        <w:rPr>
          <w:rFonts w:ascii="Calibri" w:cs="Calibri" w:eastAsia="Calibri" w:hAnsi="Calibri"/>
          <w:sz w:val="22"/>
          <w:szCs w:val="22"/>
        </w:rPr>
        <w:t xml:space="preserve">, not as one aggregate number — an aggregate hides which stage regressed: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4464"/>
        <w:gridCol w:w="2304"/>
      </w:tblGrid>
      <w:tr>
        <w:trPr>
          <w:tblHeader/>
        </w:trPr>
        <w:tc>
          <w:tcPr>
            <w:tcW w:type="dxa" w:w="2592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6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exercises</w:t>
            </w:r>
          </w:p>
        </w:tc>
        <w:tc>
          <w:tcPr>
            <w:tcW w:type="dxa" w:w="230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</w:tr>
      <w:tr>
        <w:tc>
          <w:tcPr>
            <w:tcW w:type="dxa" w:w="2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Tokenizer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18 token types, escapes, numeric edge cases</w:t>
            </w:r>
          </w:p>
        </w:tc>
        <w:tc>
          <w:tcPr>
            <w:tcW w:type="dxa" w:w="2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259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 / stylesheet parsing</w:t>
            </w:r>
          </w:p>
        </w:tc>
        <w:tc>
          <w:tcPr>
            <w:tcW w:type="dxa" w:w="446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consume_list_of_rules, at-rules, qualified rules</w:t>
            </w:r>
          </w:p>
        </w:tc>
        <w:tc>
          <w:tcPr>
            <w:tcW w:type="dxa" w:w="230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Declaration parsing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consume_declaration(_list), !important, custom properties</w:t>
            </w:r>
          </w:p>
        </w:tc>
        <w:tc>
          <w:tcPr>
            <w:tcW w:type="dxa" w:w="2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59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values</w:t>
            </w:r>
          </w:p>
        </w:tc>
        <w:tc>
          <w:tcPr>
            <w:tcW w:type="dxa" w:w="446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Functions, blocks, nested structures</w:t>
            </w:r>
          </w:p>
        </w:tc>
        <w:tc>
          <w:tcPr>
            <w:tcW w:type="dxa" w:w="230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Nesting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Nested style rules, “&amp;” (smaller, newer test surface)</w:t>
            </w:r>
          </w:p>
        </w:tc>
        <w:tc>
          <w:tcPr>
            <w:tcW w:type="dxa" w:w="2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Metric definition: </w:t>
      </w:r>
      <w:r>
        <w:rPr>
          <w:rFonts w:ascii="Consolas" w:cs="Consolas" w:eastAsia="Consolas" w:hAnsi="Consolas"/>
          <w:sz w:val="20"/>
          <w:szCs w:val="20"/>
        </w:rPr>
        <w:t xml:space="preserve">passed_tests / total_tests</w:t>
      </w:r>
      <w:r>
        <w:rPr>
          <w:rFonts w:ascii="Calibri" w:cs="Calibri" w:eastAsia="Calibri" w:hAnsi="Calibri"/>
          <w:sz w:val="22"/>
          <w:szCs w:val="22"/>
        </w:rPr>
        <w:t xml:space="preserve"> per category, computed on every CI run and plotted over time so a regression is visible the day it lands, not discovered at release.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 not 100%?</w:t>
      </w:r>
      <w:r>
        <w:rPr>
          <w:rFonts w:ascii="Calibri" w:cs="Calibri" w:eastAsia="Calibri" w:hAnsi="Calibri"/>
          <w:sz w:val="22"/>
          <w:szCs w:val="22"/>
        </w:rPr>
        <w:t xml:space="preserve"> A handful of WPT cases assert behavior in downstream modules (Selectors, CSSOM) that Section 8.2 explicitly places out of scope; those are excluded from the denominator by test-ID allowlist, tracked in a checked-in list so exclusions are auditable, not silent.</w:t>
      </w:r>
    </w:p>
    <w:p>
      <w:pPr>
        <w:pStyle w:val="Heading2"/>
        <w:spacing w:after="140" w:before="320"/>
      </w:pPr>
      <w:r>
        <w:t xml:space="preserve">2.2 Round-trip fidelity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Parse, reserialize using the token/component-value “representation” concept from CSS Syntax §4.2 (referenced in main-spec §5.3), and reparse.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Metric: </w:t>
      </w:r>
      <w:r>
        <w:rPr>
          <w:rFonts w:ascii="Consolas" w:cs="Consolas" w:eastAsia="Consolas" w:hAnsi="Consolas"/>
          <w:sz w:val="20"/>
          <w:szCs w:val="20"/>
        </w:rPr>
        <w:t xml:space="preserve">fixpoint_rate = files_reaching_stable_AST / total_corpus_files</w:t>
      </w:r>
      <w:r>
        <w:rPr>
          <w:rFonts w:ascii="Calibri" w:cs="Calibri" w:eastAsia="Calibri" w:hAnsi="Calibri"/>
          <w:sz w:val="22"/>
          <w:szCs w:val="22"/>
        </w:rPr>
        <w:t xml:space="preserve">, measured against the real-world corpus in §4.4. This is a structural check (does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AST</w:t>
      </w:r>
      <w:r>
        <w:rPr>
          <w:rFonts w:ascii="Calibri" w:cs="Calibri" w:eastAsia="Calibri" w:hAnsi="Calibri"/>
          <w:sz w:val="22"/>
          <w:szCs w:val="22"/>
        </w:rPr>
        <w:t xml:space="preserve"> match, not the exact bytes — whitespace and comments are legitimately allowed to normalize), and it's one of the cheapest correctness signals to compute since it needs no external oracle.</w:t>
      </w:r>
    </w:p>
    <w:p>
      <w:pPr>
        <w:pStyle w:val="Heading2"/>
        <w:spacing w:after="140" w:before="320"/>
      </w:pPr>
      <w:r>
        <w:t xml:space="preserve">2.3 Differential parity against a reference implementation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Per main-spec §10.4: tokenize the same real-world corpus with this crate and with </w:t>
      </w:r>
      <w:r>
        <w:rPr>
          <w:rFonts w:ascii="Consolas" w:cs="Consolas" w:eastAsia="Consolas" w:hAnsi="Consolas"/>
          <w:sz w:val="20"/>
          <w:szCs w:val="20"/>
        </w:rPr>
        <w:t xml:space="preserve">cssparser</w:t>
      </w:r>
      <w:r>
        <w:rPr>
          <w:rFonts w:ascii="Calibri" w:cs="Calibri" w:eastAsia="Calibri" w:hAnsi="Calibri"/>
          <w:sz w:val="22"/>
          <w:szCs w:val="22"/>
        </w:rPr>
        <w:t xml:space="preserve">, and diff.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Metric: </w:t>
      </w:r>
      <w:r>
        <w:rPr>
          <w:rFonts w:ascii="Consolas" w:cs="Consolas" w:eastAsia="Consolas" w:hAnsi="Consolas"/>
          <w:sz w:val="20"/>
          <w:szCs w:val="20"/>
        </w:rPr>
        <w:t xml:space="preserve">token_agreement_rate = matching_tokens / total_tokens</w:t>
      </w:r>
      <w:r>
        <w:rPr>
          <w:rFonts w:ascii="Calibri" w:cs="Calibri" w:eastAsia="Calibri" w:hAnsi="Calibri"/>
          <w:sz w:val="22"/>
          <w:szCs w:val="22"/>
        </w:rPr>
        <w:t xml:space="preserve">, reported per corpus tier (§3 below). This is explicitly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informational, not authoritative</w:t>
      </w:r>
      <w:r>
        <w:rPr>
          <w:rFonts w:ascii="Calibri" w:cs="Calibri" w:eastAsia="Calibri" w:hAnsi="Calibri"/>
          <w:sz w:val="22"/>
          <w:szCs w:val="22"/>
        </w:rPr>
        <w:t xml:space="preserve"> — two independently-compliant implementations can legitimately diverge on non-normative details — but a sudden drop in agreement rate on an unrelated commit is a very cheap early-warning signal worth having, and disagreements are worth triaging even when neither side is “wrong.”</w:t>
      </w:r>
    </w:p>
    <w:p>
      <w:pPr>
        <w:pStyle w:val="Heading2"/>
        <w:spacing w:after="140" w:before="320"/>
      </w:pPr>
      <w:r>
        <w:t xml:space="preserve">2.4 Error-recovery equivalence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hardest correctness property to verify, because there's no single ground truth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</w:t>
      </w:r>
      <w:r>
        <w:rPr>
          <w:rFonts w:ascii="Calibri" w:cs="Calibri" w:eastAsia="Calibri" w:hAnsi="Calibri"/>
          <w:sz w:val="22"/>
          <w:szCs w:val="22"/>
        </w:rPr>
        <w:t xml:space="preserve"> a spec-compliant parser should recover from bad input — only that it must (main-spec §2.2, §7.3). Approach: a curated corpus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deliberately malformed CSS</w:t>
      </w:r>
      <w:r>
        <w:rPr>
          <w:rFonts w:ascii="Calibri" w:cs="Calibri" w:eastAsia="Calibri" w:hAnsi="Calibri"/>
          <w:sz w:val="22"/>
          <w:szCs w:val="22"/>
        </w:rPr>
        <w:t xml:space="preserve"> (unclosed strings, unmatched braces, stray </w:t>
      </w:r>
      <w:r>
        <w:rPr>
          <w:rFonts w:ascii="Consolas" w:cs="Consolas" w:eastAsia="Consolas" w:hAnsi="Consolas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rPr>
          <w:rFonts w:ascii="Calibri" w:cs="Calibri" w:eastAsia="Calibri" w:hAnsi="Calibri"/>
          <w:sz w:val="22"/>
          <w:szCs w:val="22"/>
        </w:rPr>
        <w:t xml:space="preserve">, truncated </w:t>
      </w:r>
      <w:r>
        <w:rPr>
          <w:rFonts w:ascii="Consolas" w:cs="Consolas" w:eastAsia="Consolas" w:hAnsi="Consolas"/>
          <w:sz w:val="20"/>
          <w:szCs w:val="20"/>
        </w:rPr>
        <w:t xml:space="preserve">url()</w:t>
      </w:r>
      <w:r>
        <w:rPr>
          <w:rFonts w:ascii="Calibri" w:cs="Calibri" w:eastAsia="Calibri" w:hAnsi="Calibri"/>
          <w:sz w:val="22"/>
          <w:szCs w:val="22"/>
        </w:rPr>
        <w:t xml:space="preserve">s, mid-declaration EOF), each with the recovered structure a browser engine actually produces, captured once via a headless-browser CDP session and checked into the repo as a golden file.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Metric: </w:t>
      </w:r>
      <w:r>
        <w:rPr>
          <w:rFonts w:ascii="Consolas" w:cs="Consolas" w:eastAsia="Consolas" w:hAnsi="Consolas"/>
          <w:sz w:val="20"/>
          <w:szCs w:val="20"/>
        </w:rPr>
        <w:t xml:space="preserve">recovery_agreement_rate = cases_matching_golden / total_malformed_cases</w:t>
      </w:r>
      <w:r>
        <w:rPr>
          <w:rFonts w:ascii="Calibri" w:cs="Calibri" w:eastAsia="Calibri" w:hAnsi="Calibri"/>
          <w:sz w:val="22"/>
          <w:szCs w:val="22"/>
        </w:rPr>
        <w:t xml:space="preserve">. This corpus should grow every time a fuzzer (§2.5) or a bug report finds a new malformed shape this crate handles differently than expected.</w:t>
      </w:r>
    </w:p>
    <w:p>
      <w:pPr>
        <w:pStyle w:val="Heading2"/>
        <w:spacing w:after="140" w:before="320"/>
      </w:pPr>
      <w:r>
        <w:t xml:space="preserve">2.5 Fuzz robustness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Per main-spec §10.3: a </w:t>
      </w:r>
      <w:r>
        <w:rPr>
          <w:rFonts w:ascii="Consolas" w:cs="Consolas" w:eastAsia="Consolas" w:hAnsi="Consolas"/>
          <w:sz w:val="20"/>
          <w:szCs w:val="20"/>
        </w:rPr>
        <w:t xml:space="preserve">cargo-fuzz</w:t>
      </w:r>
      <w:r>
        <w:rPr>
          <w:rFonts w:ascii="Calibri" w:cs="Calibri" w:eastAsia="Calibri" w:hAnsi="Calibri"/>
          <w:sz w:val="22"/>
          <w:szCs w:val="22"/>
        </w:rPr>
        <w:t xml:space="preserve"> target over </w:t>
      </w:r>
      <w:r>
        <w:rPr>
          <w:rFonts w:ascii="Consolas" w:cs="Consolas" w:eastAsia="Consolas" w:hAnsi="Consolas"/>
          <w:sz w:val="20"/>
          <w:szCs w:val="20"/>
        </w:rPr>
        <w:t xml:space="preserve">parse_stylesheet</w:t>
      </w:r>
      <w:r>
        <w:rPr>
          <w:rFonts w:ascii="Calibri" w:cs="Calibri" w:eastAsia="Calibri" w:hAnsi="Calibri"/>
          <w:sz w:val="22"/>
          <w:szCs w:val="22"/>
        </w:rPr>
        <w:t xml:space="preserve"> on arbitrary bytes. Three metrics, tracked separately because they measure different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4464"/>
        <w:gridCol w:w="2448"/>
      </w:tblGrid>
      <w:tr>
        <w:trPr>
          <w:tblHeader/>
        </w:trPr>
        <w:tc>
          <w:tcPr>
            <w:tcW w:type="dxa" w:w="2448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46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48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Crash rate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panics / million executions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(any crash blocks merge, §4.5)</w:t>
            </w:r>
          </w:p>
        </w:tc>
      </w:tr>
      <w:tr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Corpus coverage</w:t>
            </w:r>
          </w:p>
        </w:tc>
        <w:tc>
          <w:tcPr>
            <w:tcW w:type="dxa" w:w="446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line/branch coverage of the fuzz corpus, via cargo-llvm-cov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monotonically non-decreasing</w:t>
            </w:r>
          </w:p>
        </w:tc>
      </w:tr>
      <w:tr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CPU-hours since last new crash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wall-clock fuzzing time with zero new unique crash signatures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24h before a milestone-9 sign-off (§5)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A crash with no reproduction steps is not actionable; every crash the fuzzer finds gets minimized with </w:t>
      </w:r>
      <w:r>
        <w:rPr>
          <w:rFonts w:ascii="Consolas" w:cs="Consolas" w:eastAsia="Consolas" w:hAnsi="Consolas"/>
          <w:sz w:val="20"/>
          <w:szCs w:val="20"/>
        </w:rPr>
        <w:t xml:space="preserve">cargo fuzz tmin</w:t>
      </w:r>
      <w:r>
        <w:rPr>
          <w:rFonts w:ascii="Calibri" w:cs="Calibri" w:eastAsia="Calibri" w:hAnsi="Calibri"/>
          <w:sz w:val="22"/>
          <w:szCs w:val="22"/>
        </w:rPr>
        <w:t xml:space="preserve"> and checked into </w:t>
      </w:r>
      <w:r>
        <w:rPr>
          <w:rFonts w:ascii="Consolas" w:cs="Consolas" w:eastAsia="Consolas" w:hAnsi="Consolas"/>
          <w:sz w:val="20"/>
          <w:szCs w:val="20"/>
        </w:rPr>
        <w:t xml:space="preserve">fuzz/artifacts/</w:t>
      </w:r>
      <w:r>
        <w:rPr>
          <w:rFonts w:ascii="Calibri" w:cs="Calibri" w:eastAsia="Calibri" w:hAnsi="Calibri"/>
          <w:sz w:val="22"/>
          <w:szCs w:val="22"/>
        </w:rPr>
        <w:t xml:space="preserve"> as a permanent regression test before the fix lands, so the corpus itself becomes a growing correctness asset, not just a CI gate.</w:t>
      </w:r>
    </w:p>
    <w:p>
      <w:pPr>
        <w:pStyle w:val="Heading2"/>
        <w:spacing w:after="140" w:before="320"/>
      </w:pPr>
      <w:r>
        <w:t xml:space="preserve">2.6 Unicode &amp; escape edge-case vectors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A small, hand-built,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100%-required</w:t>
      </w:r>
      <w:r>
        <w:rPr>
          <w:rFonts w:ascii="Calibri" w:cs="Calibri" w:eastAsia="Calibri" w:hAnsi="Calibri"/>
          <w:sz w:val="22"/>
          <w:szCs w:val="22"/>
        </w:rPr>
        <w:t xml:space="preserve"> vector suite — unlike the other metrics, there's no acceptable partial-pass here, because these are finite, fully enumerable cases directly from CSS Syntax §3–§4: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Surrogate code points and NUL bytes are replaced with U+FFFD during preprocessing (§3.3).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All three newline forms (CR, CRLF, FF) normalize to a single logical newline (§3.3, Figure 4.2 in the main spec).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Hex escapes of 1 through 6 digits, with and without trailing whitespace, decode to the correct code point (Figure 4.5).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An escaped newline inside a string is consumed and contributes nothing to the string's value (Figure 4.12).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Keyword matching for An+B's “odd”/“even” and !important's “important” is ASCII case-insensitive.</w:t>
      </w:r>
    </w:p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3. Performance Metrics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CSS parsing performance matters in two very different regimes: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build-time</w:t>
      </w:r>
      <w:r>
        <w:rPr>
          <w:rFonts w:ascii="Calibri" w:cs="Calibri" w:eastAsia="Calibri" w:hAnsi="Calibri"/>
          <w:sz w:val="22"/>
          <w:szCs w:val="22"/>
        </w:rPr>
        <w:t xml:space="preserve"> regime (bundlers, minifiers — throughput on large aggregated files dominates) and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dev-loop</w:t>
      </w:r>
      <w:r>
        <w:rPr>
          <w:rFonts w:ascii="Calibri" w:cs="Calibri" w:eastAsia="Calibri" w:hAnsi="Calibri"/>
          <w:sz w:val="22"/>
          <w:szCs w:val="22"/>
        </w:rPr>
        <w:t xml:space="preserve"> regime (a file watcher reparsing one small file per keystroke — latency and allocation churn dominate). The metrics below are split accordingly rather than collapsed into one “parser speed” number, because a design that's great for one regime (e.g. batching allocations) can be actively bad for the other (added latency on tiny inputs).</w:t>
      </w:r>
    </w:p>
    <w:p>
      <w:pPr>
        <w:pStyle w:val="Heading2"/>
        <w:spacing w:after="140" w:before="320"/>
      </w:pPr>
      <w:r>
        <w:t xml:space="preserve">3.1 Corpus tiers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Every throughput/latency/memory metric below is reported per tier, not as a single blended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2304"/>
        <w:gridCol w:w="5471"/>
      </w:tblGrid>
      <w:tr>
        <w:trPr>
          <w:tblHeader/>
        </w:trPr>
        <w:tc>
          <w:tcPr>
            <w:tcW w:type="dxa" w:w="158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0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range</w:t>
            </w:r>
          </w:p>
        </w:tc>
        <w:tc>
          <w:tcPr>
            <w:tcW w:type="dxa" w:w="5471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of</w:t>
            </w:r>
          </w:p>
        </w:tc>
      </w:tr>
      <w:t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1–10 KB</w:t>
            </w:r>
          </w:p>
        </w:tc>
        <w:tc>
          <w:tcPr>
            <w:tcW w:type="dxa" w:w="54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component's scoped styles; what a dev-loop reparses on every keystroke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0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50–300 KB</w:t>
            </w:r>
          </w:p>
        </w:tc>
        <w:tc>
          <w:tcPr>
            <w:tcW w:type="dxa" w:w="5471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page/app bundle — e.g. an unminified Bootstrap or a mid-size Tailwind build</w:t>
            </w:r>
          </w:p>
        </w:tc>
      </w:tr>
      <w:t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23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KB–3 MB</w:t>
            </w:r>
          </w:p>
        </w:tc>
        <w:tc>
          <w:tcPr>
            <w:tcW w:type="dxa" w:w="54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aggregated/vendor bundle, or several large stylesheets concatenated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Adversarial</w:t>
            </w:r>
          </w:p>
        </w:tc>
        <w:tc>
          <w:tcPr>
            <w:tcW w:type="dxa" w:w="230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5471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Synthetic pathological shapes — see §3.5, not organic CSS</w:t>
            </w:r>
          </w:p>
        </w:tc>
      </w:tr>
    </w:tbl>
    <w:p>
      <w:pPr>
        <w:pStyle w:val="Heading2"/>
        <w:spacing w:after="140" w:before="320"/>
      </w:pPr>
      <w:r>
        <w:t xml:space="preserve">3.2 Throughput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Sustained MB/s and tokens/sec, measured with </w:t>
      </w:r>
      <w:r>
        <w:rPr>
          <w:rFonts w:ascii="Consolas" w:cs="Consolas" w:eastAsia="Consolas" w:hAnsi="Consolas"/>
          <w:sz w:val="20"/>
          <w:szCs w:val="20"/>
        </w:rPr>
        <w:t xml:space="preserve">criterion</w:t>
      </w:r>
      <w:r>
        <w:rPr>
          <w:rFonts w:ascii="Calibri" w:cs="Calibri" w:eastAsia="Calibri" w:hAnsi="Calibri"/>
          <w:sz w:val="22"/>
          <w:szCs w:val="22"/>
        </w:rPr>
        <w:t xml:space="preserve">'s </w:t>
      </w:r>
      <w:r>
        <w:rPr>
          <w:rFonts w:ascii="Consolas" w:cs="Consolas" w:eastAsia="Consolas" w:hAnsi="Consolas"/>
          <w:sz w:val="20"/>
          <w:szCs w:val="20"/>
        </w:rPr>
        <w:t xml:space="preserve">Throughput::Bytes</w:t>
      </w:r>
      <w:r>
        <w:rPr>
          <w:rFonts w:ascii="Calibri" w:cs="Calibri" w:eastAsia="Calibri" w:hAnsi="Calibri"/>
          <w:sz w:val="22"/>
          <w:szCs w:val="22"/>
        </w:rPr>
        <w:t xml:space="preserve"> setting (§4.1) on the medium and large tiers, where steady-state throughput is the meaningful number (small-tier timing is dominated by fixed overhead, not throughput — see §3.3 instead).</w:t>
      </w:r>
    </w:p>
    <w:p>
      <w:pPr>
        <w:pStyle w:val="Heading2"/>
        <w:spacing w:after="140" w:before="320"/>
      </w:pPr>
      <w:r>
        <w:t xml:space="preserve">3.3 Latency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Cold, single-file parse time on the small tier, reported as </w:t>
      </w:r>
      <w:r>
        <w:rPr>
          <w:rFonts w:ascii="Consolas" w:cs="Consolas" w:eastAsia="Consolas" w:hAnsi="Consolas"/>
          <w:sz w:val="20"/>
          <w:szCs w:val="20"/>
        </w:rPr>
        <w:t xml:space="preserve">p50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p95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p99</w:t>
      </w:r>
      <w:r>
        <w:rPr>
          <w:rFonts w:ascii="Calibri" w:cs="Calibri" w:eastAsia="Calibri" w:hAnsi="Calibri"/>
          <w:sz w:val="22"/>
          <w:szCs w:val="22"/>
        </w:rPr>
        <w:t xml:space="preserve"> over repeated runs rather than a mean — the dev-loop use case cares about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worst</w:t>
      </w:r>
      <w:r>
        <w:rPr>
          <w:rFonts w:ascii="Calibri" w:cs="Calibri" w:eastAsia="Calibri" w:hAnsi="Calibri"/>
          <w:sz w:val="22"/>
          <w:szCs w:val="22"/>
        </w:rPr>
        <w:t xml:space="preserve"> keystroke-to-rebuild lag a person actually feels, not the average.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Target: </w:t>
      </w:r>
      <w:r>
        <w:rPr>
          <w:rFonts w:ascii="Calibri" w:cs="Calibri" w:eastAsia="Calibri" w:hAnsi="Calibri"/>
          <w:sz w:val="22"/>
          <w:szCs w:val="22"/>
        </w:rPr>
        <w:t xml:space="preserve">sub-millisecond p95 on a 1–10 KB file</w:t>
      </w:r>
      <w:r>
        <w:rPr>
          <w:rFonts w:ascii="Calibri" w:cs="Calibri" w:eastAsia="Calibri" w:hAnsi="Calibri"/>
          <w:sz w:val="22"/>
          <w:szCs w:val="22"/>
        </w:rPr>
        <w:t xml:space="preserve">, so parsing never becomes the visible bottleneck in a hot-module-reload loop (typical HMR budgets are tens of milliseconds end-to-end; the parser should be a rounding error inside that budget, not a meaningful fraction of it).</w:t>
      </w:r>
    </w:p>
    <w:p>
      <w:pPr>
        <w:pStyle w:val="Heading2"/>
        <w:spacing w:after="140" w:before="320"/>
      </w:pPr>
      <w:r>
        <w:t xml:space="preserve">3.4 Memory footprint &amp; allocation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4320"/>
        <w:gridCol w:w="2592"/>
      </w:tblGrid>
      <w:tr>
        <w:trPr>
          <w:tblHeader/>
        </w:trPr>
        <w:tc>
          <w:tcPr>
            <w:tcW w:type="dxa" w:w="2448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20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92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RSS ratio</w:t>
            </w:r>
          </w:p>
        </w:tc>
        <w:tc>
          <w:tcPr>
            <w:tcW w:type="dxa" w:w="43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peak_bytes_resident / input_bytes</w:t>
            </w:r>
          </w:p>
        </w:tc>
        <w:tc>
          <w:tcPr>
            <w:tcW w:type="dxa" w:w="2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(§4.2)</w:t>
            </w:r>
          </w:p>
        </w:tc>
      </w:tr>
      <w:tr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Allocations per KB parsed</w:t>
            </w:r>
          </w:p>
        </w:tc>
        <w:tc>
          <w:tcPr>
            <w:tcW w:type="dxa" w:w="4320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total_alloc_calls / (input_bytes / 1024)</w:t>
            </w:r>
          </w:p>
        </w:tc>
        <w:tc>
          <w:tcPr>
            <w:tcW w:type="dxa" w:w="259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dhat</w:t>
            </w:r>
          </w:p>
        </w:tc>
      </w:tr>
      <w:tr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Borrow ratio</w:t>
            </w:r>
          </w:p>
        </w:tc>
        <w:tc>
          <w:tcPr>
            <w:tcW w:type="dxa" w:w="43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tokens borrowing input / total ident-like tokens</w:t>
            </w:r>
          </w:p>
        </w:tc>
        <w:tc>
          <w:tcPr>
            <w:tcW w:type="dxa" w:w="2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custom counter, see below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borrow ratio</w:t>
      </w:r>
      <w:r>
        <w:rPr>
          <w:rFonts w:ascii="Calibri" w:cs="Calibri" w:eastAsia="Calibri" w:hAnsi="Calibri"/>
          <w:sz w:val="22"/>
          <w:szCs w:val="22"/>
        </w:rPr>
        <w:t xml:space="preserve"> is specific to this crate's design: main-spec §7.2 chose </w:t>
      </w:r>
      <w:r>
        <w:rPr>
          <w:rFonts w:ascii="Consolas" w:cs="Consolas" w:eastAsia="Consolas" w:hAnsi="Consolas"/>
          <w:sz w:val="20"/>
          <w:szCs w:val="20"/>
        </w:rPr>
        <w:t xml:space="preserve">Cow&lt;'i, str&gt;</w:t>
      </w:r>
      <w:r>
        <w:rPr>
          <w:rFonts w:ascii="Calibri" w:cs="Calibri" w:eastAsia="Calibri" w:hAnsi="Calibri"/>
          <w:sz w:val="22"/>
          <w:szCs w:val="22"/>
        </w:rPr>
        <w:t xml:space="preserve"> tokens specifically so that unescaped idents/strings/URLs (the common case) borrow the input instead of allocating. That decision is a bet, and this metric is how the bet gets checked — instrument </w:t>
      </w:r>
      <w:r>
        <w:rPr>
          <w:rFonts w:ascii="Consolas" w:cs="Consolas" w:eastAsia="Consolas" w:hAnsi="Consolas"/>
          <w:sz w:val="20"/>
          <w:szCs w:val="20"/>
        </w:rPr>
        <w:t xml:space="preserve">Cow::Borrowed</w:t>
      </w:r>
      <w:r>
        <w:rPr>
          <w:rFonts w:ascii="Calibri" w:cs="Calibri" w:eastAsia="Calibri" w:hAnsi="Calibri"/>
          <w:sz w:val="22"/>
          <w:szCs w:val="22"/>
        </w:rP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Cow::Owned</w:t>
      </w:r>
      <w:r>
        <w:rPr>
          <w:rFonts w:ascii="Calibri" w:cs="Calibri" w:eastAsia="Calibri" w:hAnsi="Calibri"/>
          <w:sz w:val="22"/>
          <w:szCs w:val="22"/>
        </w:rPr>
        <w:t xml:space="preserve"> construction sites and report the fraction borrowed on the real-world corpus (§4.4). A borrow ratio that turns out to be low in practice (lots of real CSS uses escapes more than expected) would be a concrete, data-backed reason to revisit §7.2 — not a hypothetical one.</w:t>
      </w:r>
    </w:p>
    <w:p>
      <w:pPr>
        <w:pStyle w:val="Heading2"/>
        <w:spacing w:after="140" w:before="320"/>
      </w:pPr>
      <w:r>
        <w:t xml:space="preserve">3.5 Scaling behavior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Fit parse time against input size across all four corpus tiers, plus synthetic files built by concatenating the large tier with itself N times.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Target: </w:t>
      </w:r>
      <w:r>
        <w:rPr>
          <w:rFonts w:ascii="Calibri" w:cs="Calibri" w:eastAsia="Calibri" w:hAnsi="Calibri"/>
          <w:sz w:val="22"/>
          <w:szCs w:val="22"/>
        </w:rPr>
        <w:t xml:space="preserve">empirically linear (time roughly doubles when input roughly doubles). This exists specifically to catch accidental </w:t>
      </w:r>
      <w:r>
        <w:rPr>
          <w:rFonts w:ascii="Consolas" w:cs="Consolas" w:eastAsia="Consolas" w:hAnsi="Consolas"/>
          <w:sz w:val="20"/>
          <w:szCs w:val="20"/>
        </w:rPr>
        <w:t xml:space="preserve">O(n²)</w:t>
      </w:r>
      <w:r>
        <w:rPr>
          <w:rFonts w:ascii="Calibri" w:cs="Calibri" w:eastAsia="Calibri" w:hAnsi="Calibri"/>
          <w:sz w:val="22"/>
          <w:szCs w:val="22"/>
        </w:rPr>
        <w:t xml:space="preserve"> behavior that unit tests on small inputs can't see — the classic culprits in a hand-written parser are a resync loop (§7.3's </w:t>
      </w:r>
      <w:r>
        <w:rPr>
          <w:rFonts w:ascii="Consolas" w:cs="Consolas" w:eastAsia="Consolas" w:hAnsi="Consolas"/>
          <w:sz w:val="20"/>
          <w:szCs w:val="20"/>
        </w:rPr>
        <w:t xml:space="preserve">consume_until</w:t>
      </w:r>
      <w:r>
        <w:rPr>
          <w:rFonts w:ascii="Calibri" w:cs="Calibri" w:eastAsia="Calibri" w:hAnsi="Calibri"/>
          <w:sz w:val="22"/>
          <w:szCs w:val="22"/>
        </w:rPr>
        <w:t xml:space="preserve">) that rescans from the wrong position, or repeated </w:t>
      </w:r>
      <w:r>
        <w:rPr>
          <w:rFonts w:ascii="Consolas" w:cs="Consolas" w:eastAsia="Consolas" w:hAnsi="Consolas"/>
          <w:sz w:val="20"/>
          <w:szCs w:val="20"/>
        </w:rPr>
        <w:t xml:space="preserve">Vec</w:t>
      </w:r>
      <w:r>
        <w:rPr>
          <w:rFonts w:ascii="Calibri" w:cs="Calibri" w:eastAsia="Calibri" w:hAnsi="Calibri"/>
          <w:sz w:val="22"/>
          <w:szCs w:val="22"/>
        </w:rPr>
        <w:t xml:space="preserve"> reallocation from missing capacity hints in </w:t>
      </w:r>
      <w:r>
        <w:rPr>
          <w:rFonts w:ascii="Consolas" w:cs="Consolas" w:eastAsia="Consolas" w:hAnsi="Consolas"/>
          <w:sz w:val="20"/>
          <w:szCs w:val="20"/>
        </w:rPr>
        <w:t xml:space="preserve">consume_list_of_rules</w:t>
      </w:r>
      <w:r>
        <w:rPr>
          <w:rFonts w:ascii="Calibri" w:cs="Calibri" w:eastAsia="Calibri" w:hAnsi="Calibri"/>
          <w:sz w:val="22"/>
          <w:szCs w:val="22"/>
        </w:rPr>
        <w:t xml:space="preserve">-style loops.</w:t>
      </w:r>
    </w:p>
    <w:p>
      <w:pPr>
        <w:pStyle w:val="Heading2"/>
        <w:spacing w:after="140" w:before="320"/>
      </w:pPr>
      <w:r>
        <w:t xml:space="preserve">3.6 Pathological-input stress cases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Real-world minifiers and generators occasionally produce shapes no hand-written test would think to cover. Measure time and memory (not just “does it crash” — that's §2.5's job) under: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Deep nesting: </w:t>
      </w:r>
      <w:r>
        <w:rPr>
          <w:rFonts w:ascii="Calibri" w:cs="Calibri" w:eastAsia="Calibri" w:hAnsi="Calibri"/>
          <w:sz w:val="22"/>
          <w:szCs w:val="22"/>
        </w:rPr>
        <w:t xml:space="preserve">hundreds of levels of </w:t>
      </w:r>
      <w:r>
        <w:rPr>
          <w:rFonts w:ascii="Consolas" w:cs="Consolas" w:eastAsia="Consolas" w:hAnsi="Consolas"/>
          <w:sz w:val="20"/>
          <w:szCs w:val="20"/>
        </w:rPr>
        <w:t xml:space="preserve">calc()</w:t>
      </w:r>
      <w:r>
        <w:rPr>
          <w:rFonts w:ascii="Calibri" w:cs="Calibri" w:eastAsia="Calibri" w:hAnsi="Calibri"/>
          <w:sz w:val="22"/>
          <w:szCs w:val="22"/>
        </w:rPr>
        <w:t xml:space="preserve"> or function nesting, stressing recursion depth in </w:t>
      </w:r>
      <w:r>
        <w:rPr>
          <w:rFonts w:ascii="Consolas" w:cs="Consolas" w:eastAsia="Consolas" w:hAnsi="Consolas"/>
          <w:sz w:val="20"/>
          <w:szCs w:val="20"/>
        </w:rPr>
        <w:t xml:space="preserve">consume_function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Extreme line length: </w:t>
      </w:r>
      <w:r>
        <w:rPr>
          <w:rFonts w:ascii="Calibri" w:cs="Calibri" w:eastAsia="Calibri" w:hAnsi="Calibri"/>
          <w:sz w:val="22"/>
          <w:szCs w:val="22"/>
        </w:rPr>
        <w:t xml:space="preserve">a single selector or declaration value tens of thousands of tokens long, stressing single-</w:t>
      </w:r>
      <w:r>
        <w:rPr>
          <w:rFonts w:ascii="Consolas" w:cs="Consolas" w:eastAsia="Consolas" w:hAnsi="Consolas"/>
          <w:sz w:val="20"/>
          <w:szCs w:val="20"/>
        </w:rPr>
        <w:t xml:space="preserve">Vec</w:t>
      </w:r>
      <w:r>
        <w:rPr>
          <w:rFonts w:ascii="Calibri" w:cs="Calibri" w:eastAsia="Calibri" w:hAnsi="Calibri"/>
          <w:sz w:val="22"/>
          <w:szCs w:val="22"/>
        </w:rPr>
        <w:t xml:space="preserve"> growth.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Comment/whitespace bombs: </w:t>
      </w:r>
      <w:r>
        <w:rPr>
          <w:rFonts w:ascii="Calibri" w:cs="Calibri" w:eastAsia="Calibri" w:hAnsi="Calibri"/>
          <w:sz w:val="22"/>
          <w:szCs w:val="22"/>
        </w:rPr>
        <w:t xml:space="preserve">a huge single comment or run of whitespace, checking the tokenizer doesn't allocate per-character.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Escape-dense idents: </w:t>
      </w:r>
      <w:r>
        <w:rPr>
          <w:rFonts w:ascii="Calibri" w:cs="Calibri" w:eastAsia="Calibri" w:hAnsi="Calibri"/>
          <w:sz w:val="22"/>
          <w:szCs w:val="22"/>
        </w:rPr>
        <w:t xml:space="preserve">identifiers that are almost entirely </w:t>
      </w:r>
      <w:r>
        <w:rPr>
          <w:rFonts w:ascii="Consolas" w:cs="Consolas" w:eastAsia="Consolas" w:hAnsi="Consolas"/>
          <w:sz w:val="20"/>
          <w:szCs w:val="20"/>
        </w:rPr>
        <w:t xml:space="preserve">\XX</w:t>
      </w:r>
      <w:r>
        <w:rPr>
          <w:rFonts w:ascii="Calibri" w:cs="Calibri" w:eastAsia="Calibri" w:hAnsi="Calibri"/>
          <w:sz w:val="22"/>
          <w:szCs w:val="22"/>
        </w:rPr>
        <w:t xml:space="preserve"> escapes, the worst case for the borrow ratio in §3.4.</w:t>
      </w:r>
    </w:p>
    <w:p>
      <w:pPr>
        <w:pStyle w:val="Heading2"/>
        <w:spacing w:after="140" w:before="320"/>
      </w:pPr>
      <w:r>
        <w:t xml:space="preserve">3.7 Comparison baselines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Run the same corpus tiers through </w:t>
      </w:r>
      <w:r>
        <w:rPr>
          <w:rFonts w:ascii="Consolas" w:cs="Consolas" w:eastAsia="Consolas" w:hAnsi="Consolas"/>
          <w:sz w:val="20"/>
          <w:szCs w:val="20"/>
        </w:rPr>
        <w:t xml:space="preserve">cssparser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lightningcss</w:t>
      </w:r>
      <w:r>
        <w:rPr>
          <w:rFonts w:ascii="Calibri" w:cs="Calibri" w:eastAsia="Calibri" w:hAnsi="Calibri"/>
          <w:sz w:val="22"/>
          <w:szCs w:val="22"/>
        </w:rPr>
        <w:t xml:space="preserve"> (the latter is SIMD-accelerated and built on </w:t>
      </w:r>
      <w:r>
        <w:rPr>
          <w:rFonts w:ascii="Consolas" w:cs="Consolas" w:eastAsia="Consolas" w:hAnsi="Consolas"/>
          <w:sz w:val="20"/>
          <w:szCs w:val="20"/>
        </w:rPr>
        <w:t xml:space="preserve">cssparser</w:t>
      </w:r>
      <w:r>
        <w:rPr>
          <w:rFonts w:ascii="Calibri" w:cs="Calibri" w:eastAsia="Calibri" w:hAnsi="Calibri"/>
          <w:sz w:val="22"/>
          <w:szCs w:val="22"/>
        </w:rPr>
        <w:t xml:space="preserve"> itself, so it's a useful upper bound rather than an apples-to-apples target). This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a “beat the competition” goal — it's a sanity check: being within a small constant factor of a mature reference implementation is a healthy signal, while falling behind by an order of magnitude flags something structurally wrong worth investigating before it's treated as “just the cost of hand-writing it.”</w:t>
      </w:r>
    </w:p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4. Tooling &amp; Methodology</w:t>
      </w:r>
    </w:p>
    <w:p>
      <w:pPr>
        <w:pStyle w:val="Heading2"/>
        <w:spacing w:after="140" w:before="320"/>
      </w:pPr>
      <w:r>
        <w:t xml:space="preserve">4.1 Benchmarking: criterion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criterion</w:t>
      </w:r>
      <w:r>
        <w:rPr>
          <w:rFonts w:ascii="Calibri" w:cs="Calibri" w:eastAsia="Calibri" w:hAnsi="Calibri"/>
          <w:sz w:val="22"/>
          <w:szCs w:val="22"/>
        </w:rPr>
        <w:t xml:space="preserve"> is the standard statistics-driven Rust microbenchmarking harness — it runs many samples, reports confidence intervals rather than single-shot timings, and (via </w:t>
      </w:r>
      <w:r>
        <w:rPr>
          <w:rFonts w:ascii="Consolas" w:cs="Consolas" w:eastAsia="Consolas" w:hAnsi="Consolas"/>
          <w:sz w:val="20"/>
          <w:szCs w:val="20"/>
        </w:rPr>
        <w:t xml:space="preserve">cargo-criterion</w:t>
      </w:r>
      <w:r>
        <w:rPr>
          <w:rFonts w:ascii="Calibri" w:cs="Calibri" w:eastAsia="Calibri" w:hAnsi="Calibri"/>
          <w:sz w:val="22"/>
          <w:szCs w:val="22"/>
        </w:rPr>
        <w:t xml:space="preserve">) tracks a saved baseline so a regression shows up as a flagged percentage change, not a number someone has to remember from last week. Setup sketch: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# Cargo.toml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[dev-dependencies]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criterion = { version = "0.8", features = ["html_reports"] }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[[bench]]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name = "parse_corpus"</w:t>
      </w:r>
    </w:p>
    <w:p>
      <w:pPr>
        <w:shd w:fill="F3F4F6" w:color="auto" w:val="clear"/>
        <w:spacing w:after="20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harness = false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// benches/parse_corpus.rs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use criterion::{criterion_group, criterion_main, Criterion, Throughput};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fn bench_tier(c: &amp;mut Criterion, tier: &amp;str, css: &amp;str) {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let mut group = c.benchmark_group(format!("parse/{tier}"));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group.throughput(Throughput::Bytes(css.len() as u64));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group.bench_function(tier, |b| b.iter(|| parse_stylesheet(css)));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group.finish();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fn benches(c: &amp;mut Criterion) {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bench_tier(c, "small", include_str!("../corpus/small/button.css"));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bench_tier(c, "medium", include_str!("../corpus/medium/bootstrap.css"));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bench_tier(c, "large", include_str!("../corpus/large/vendor-bundle.css"));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criterion_group!(benches_group, benches);</w:t>
      </w:r>
    </w:p>
    <w:p>
      <w:pPr>
        <w:shd w:fill="F3F4F6" w:color="auto" w:val="clear"/>
        <w:spacing w:after="20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criterion_main!(benches_group);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Run with </w:t>
      </w:r>
      <w:r>
        <w:rPr>
          <w:rFonts w:ascii="Consolas" w:cs="Consolas" w:eastAsia="Consolas" w:hAnsi="Consolas"/>
          <w:sz w:val="20"/>
          <w:szCs w:val="20"/>
        </w:rPr>
        <w:t xml:space="preserve">cargo bench</w:t>
      </w:r>
      <w:r>
        <w:rPr>
          <w:rFonts w:ascii="Calibri" w:cs="Calibri" w:eastAsia="Calibri" w:hAnsi="Calibri"/>
          <w:sz w:val="22"/>
          <w:szCs w:val="22"/>
        </w:rPr>
        <w:t xml:space="preserve">; HTML reports land in </w:t>
      </w:r>
      <w:r>
        <w:rPr>
          <w:rFonts w:ascii="Consolas" w:cs="Consolas" w:eastAsia="Consolas" w:hAnsi="Consolas"/>
          <w:sz w:val="20"/>
          <w:szCs w:val="20"/>
        </w:rPr>
        <w:t xml:space="preserve">target/criterion/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cargo criterion</w:t>
      </w:r>
      <w:r>
        <w:rPr>
          <w:rFonts w:ascii="Calibri" w:cs="Calibri" w:eastAsia="Calibri" w:hAnsi="Calibri"/>
          <w:sz w:val="22"/>
          <w:szCs w:val="22"/>
        </w:rPr>
        <w:t xml:space="preserve"> adds historical trend tracking across commits (§4.5).</w:t>
      </w:r>
    </w:p>
    <w:p>
      <w:pPr>
        <w:pStyle w:val="Heading2"/>
        <w:spacing w:after="140" w:before="320"/>
      </w:pPr>
      <w:r>
        <w:t xml:space="preserve">4.2 Profiling: CPU &amp;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3168"/>
        <w:gridCol w:w="3455"/>
      </w:tblGrid>
      <w:tr>
        <w:trPr>
          <w:tblHeader/>
        </w:trPr>
        <w:tc>
          <w:tcPr>
            <w:tcW w:type="dxa" w:w="2735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68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55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is time going?</w:t>
            </w:r>
          </w:p>
        </w:tc>
        <w:tc>
          <w:tcPr>
            <w:tcW w:type="dxa" w:w="31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cargo-flamegraph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(wraps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3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Linux-first; visualizes hot call stacks directly</w:t>
            </w:r>
          </w:p>
        </w:tc>
      </w:tr>
      <w:tr>
        <w:tc>
          <w:tcPr>
            <w:tcW w:type="dxa" w:w="2735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are allocations going?</w:t>
            </w:r>
          </w:p>
        </w:tc>
        <w:tc>
          <w:tcPr>
            <w:tcW w:type="dxa" w:w="316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(docs.rs/dhat)</w:t>
            </w:r>
          </w:p>
        </w:tc>
        <w:tc>
          <w:tcPr>
            <w:tcW w:type="dxa" w:w="3455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Precise alloc-site attribution; also supports heap-usage assertions in tests</w:t>
            </w:r>
          </w:p>
        </w:tc>
      </w:tr>
      <w:tr>
        <w:tc>
          <w:tcPr>
            <w:tcW w:type="dxa" w:w="27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Wall-clock, end-to-end CLI</w:t>
            </w:r>
          </w:p>
        </w:tc>
        <w:tc>
          <w:tcPr>
            <w:tcW w:type="dxa" w:w="31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hyperfine</w:t>
            </w:r>
          </w:p>
        </w:tc>
        <w:tc>
          <w:tcPr>
            <w:tcW w:type="dxa" w:w="34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 parse-and-report binary, if/when one exists</w:t>
            </w:r>
          </w:p>
        </w:tc>
      </w:tr>
    </w:tbl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// Feature-gated so profiling never ships in a normal build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#[cfg(feature = "dhat-heap")]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#[global_allocator]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static ALLOC: dhat::Alloc = dhat::Alloc;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fn main() {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#[cfg(feature = "dhat-heap")]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let _profiler = dhat::Profiler::new_heap();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// … run the parse …</w:t>
      </w:r>
    </w:p>
    <w:p>
      <w:pPr>
        <w:shd w:fill="F3F4F6" w:color="auto" w:val="clear"/>
        <w:spacing w:after="20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320"/>
      </w:pPr>
      <w:r>
        <w:t xml:space="preserve">4.3 Fuzzing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cargo-fuzz</w:t>
      </w:r>
      <w:r>
        <w:rPr>
          <w:rFonts w:ascii="Calibri" w:cs="Calibri" w:eastAsia="Calibri" w:hAnsi="Calibri"/>
          <w:sz w:val="22"/>
          <w:szCs w:val="22"/>
        </w:rPr>
        <w:t xml:space="preserve"> (a wrapper around libFuzzer) drives §2.5. A minimal target: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// fuzz/fuzz_targets/parse_stylesheet.rs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#![no_main]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use libfuzzer_sys::fuzz_target;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fuzz_target!(|data: &amp;[u8]| {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if let Ok(s) = std::str::from_utf8(data) {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let _ = css_parser::parse_stylesheet(s); // must never panic or hang</w:t>
      </w:r>
    </w:p>
    <w:p>
      <w:pPr>
        <w:shd w:fill="F3F4F6" w:color="auto" w:val="clear"/>
        <w:spacing w:after="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color="auto" w:val="clear"/>
        <w:spacing w:after="200" w:before="0" w:line="240"/>
        <w:ind w:left="20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cargo fuzz run parse_stylesheet</w:t>
      </w:r>
      <w:r>
        <w:rPr>
          <w:rFonts w:ascii="Calibri" w:cs="Calibri" w:eastAsia="Calibri" w:hAnsi="Calibri"/>
          <w:sz w:val="22"/>
          <w:szCs w:val="22"/>
        </w:rPr>
        <w:t xml:space="preserve"> — run continuously; corpus persists under </w:t>
      </w:r>
      <w:r>
        <w:rPr>
          <w:rFonts w:ascii="Consolas" w:cs="Consolas" w:eastAsia="Consolas" w:hAnsi="Consolas"/>
          <w:sz w:val="20"/>
          <w:szCs w:val="20"/>
        </w:rPr>
        <w:t xml:space="preserve">fuzz/corpus/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cargo fuzz tmin</w:t>
      </w:r>
      <w:r>
        <w:rPr>
          <w:rFonts w:ascii="Calibri" w:cs="Calibri" w:eastAsia="Calibri" w:hAnsi="Calibri"/>
          <w:sz w:val="22"/>
          <w:szCs w:val="22"/>
        </w:rPr>
        <w:t xml:space="preserve"> — minimize a crashing input before filing/fixing it (§2.5).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20"/>
          <w:szCs w:val="20"/>
        </w:rPr>
        <w:t xml:space="preserve">cargo fuzz coverage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cargo-llvm-cov</w:t>
      </w:r>
      <w:r>
        <w:rPr>
          <w:rFonts w:ascii="Calibri" w:cs="Calibri" w:eastAsia="Calibri" w:hAnsi="Calibri"/>
          <w:sz w:val="22"/>
          <w:szCs w:val="22"/>
        </w:rPr>
        <w:t xml:space="preserve"> — measure what fraction of the parser the corpus actually reaches.</w:t>
      </w:r>
    </w:p>
    <w:p>
      <w:pPr>
        <w:pStyle w:val="Heading2"/>
        <w:spacing w:after="140" w:before="320"/>
      </w:pPr>
      <w:r>
        <w:t xml:space="preserve">4.4 Benchmark &amp; fuzz corpus sourcing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corpus tiers in §3.1 need real content, not just synthetic stress cases: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Real-world CSS: </w:t>
      </w:r>
      <w:r>
        <w:rPr>
          <w:rFonts w:ascii="Calibri" w:cs="Calibri" w:eastAsia="Calibri" w:hAnsi="Calibri"/>
          <w:sz w:val="22"/>
          <w:szCs w:val="22"/>
        </w:rPr>
        <w:t xml:space="preserve">Bootstrap (unminified + minified), a representative Tailwind JIT build, normalize.css, and a handful of popular open-source component libraries — chosen for license clarity and easy redistribution inside the repo's test fixtures.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Adversarial generator: </w:t>
      </w:r>
      <w:r>
        <w:rPr>
          <w:rFonts w:ascii="Calibri" w:cs="Calibri" w:eastAsia="Calibri" w:hAnsi="Calibri"/>
          <w:sz w:val="22"/>
          <w:szCs w:val="22"/>
        </w:rPr>
        <w:t xml:space="preserve">a small internal script producing the §3.6 pathological shapes parametrically (nesting depth, escape density, line length), so stress tests can be regenerated at any target size rather than hand-maintained.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Fuzz seed corpus: </w:t>
      </w:r>
      <w:r>
        <w:rPr>
          <w:rFonts w:ascii="Calibri" w:cs="Calibri" w:eastAsia="Calibri" w:hAnsi="Calibri"/>
          <w:sz w:val="22"/>
          <w:szCs w:val="22"/>
        </w:rPr>
        <w:t xml:space="preserve">the same real-world files, pre-tokenized so libFuzzer starts mutating from valid-ish CSS instead of purely random bytes — this reaches interesting parser states far faster than a cold start.</w:t>
      </w:r>
    </w:p>
    <w:p>
      <w:pPr>
        <w:pStyle w:val="Heading2"/>
        <w:spacing w:after="140" w:before="320"/>
      </w:pPr>
      <w:r>
        <w:t xml:space="preserve">4.5 CI integration &amp; regression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616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Conformance pass rate (§2.1)</w:t>
            </w:r>
          </w:p>
        </w:tc>
        <w:tc>
          <w:tcPr>
            <w:tcW w:type="dxa" w:w="56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never regress; new failures block merge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Throughput (§3.2)</w:t>
            </w:r>
          </w:p>
        </w:tc>
        <w:tc>
          <w:tcPr>
            <w:tcW w:type="dxa" w:w="56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 if any tier regresses &gt; 10% vs. the saved baseline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memory (§3.4)</w:t>
            </w:r>
          </w:p>
        </w:tc>
        <w:tc>
          <w:tcPr>
            <w:tcW w:type="dxa" w:w="56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 if peak RSS ratio grows &gt; 15% vs. baseline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Fuzz crashes (§2.5)</w:t>
            </w:r>
          </w:p>
        </w:tc>
        <w:tc>
          <w:tcPr>
            <w:tcW w:type="dxa" w:w="56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new unique crash blocks merge until triaged and minimized</w:t>
            </w:r>
          </w:p>
        </w:tc>
      </w:tr>
    </w:tbl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5. Acceptance Criteria by Roadmap Milestone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Each milestone in the main spec's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9</w:t>
      </w:r>
      <w:r>
        <w:rPr>
          <w:rFonts w:ascii="Calibri" w:cs="Calibri" w:eastAsia="Calibri" w:hAnsi="Calibri"/>
          <w:sz w:val="22"/>
          <w:szCs w:val="22"/>
        </w:rPr>
        <w:t xml:space="preserve"> gets one measurable gate below, so “done” is a checkable claim rather than a feeling. Milestones 1–4 lean on §2.1's conformance categories directly since those map one-to-one onto the </w:t>
      </w:r>
      <w:r>
        <w:rPr>
          <w:rFonts w:ascii="Consolas" w:cs="Consolas" w:eastAsia="Consolas" w:hAnsi="Consolas"/>
          <w:sz w:val="20"/>
          <w:szCs w:val="20"/>
        </w:rPr>
        <w:t xml:space="preserve">consume_*</w:t>
      </w:r>
      <w:r>
        <w:rPr>
          <w:rFonts w:ascii="Calibri" w:cs="Calibri" w:eastAsia="Calibri" w:hAnsi="Calibri"/>
          <w:sz w:val="22"/>
          <w:szCs w:val="22"/>
        </w:rPr>
        <w:t xml:space="preserve"> functions being built at each stage; later milestones pull in the more specialized metrics from §2.4–§2.6 once there's a grammar surface for them to apply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"/>
        <w:gridCol w:w="2448"/>
        <w:gridCol w:w="6336"/>
      </w:tblGrid>
      <w:tr>
        <w:trPr>
          <w:tblHeader/>
        </w:trPr>
        <w:tc>
          <w:tcPr>
            <w:tcW w:type="dxa" w:w="576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48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36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5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Tokenizer foundation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99% pass, tokenizer category (§2.1); throughput baseline recorded (no target yet)</w:t>
            </w:r>
          </w:p>
        </w:tc>
      </w:tr>
      <w:tr>
        <w:tc>
          <w:tcPr>
            <w:tcW w:type="dxa" w:w="57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 skeleton</w:t>
            </w:r>
          </w:p>
        </w:tc>
        <w:tc>
          <w:tcPr>
            <w:tcW w:type="dxa" w:w="633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 pass, rule/stylesheet category; round-trip fixpoint (§2.2) ≥ 95% of corpus</w:t>
            </w:r>
          </w:p>
        </w:tc>
      </w:tr>
      <w:tr>
        <w:tc>
          <w:tcPr>
            <w:tcW w:type="dxa" w:w="5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Declarations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 pass, declaration category; 100% on the custom-property raw-capture vectors (§2.6-adjacent)</w:t>
            </w:r>
          </w:p>
        </w:tc>
      </w:tr>
      <w:tr>
        <w:tc>
          <w:tcPr>
            <w:tcW w:type="dxa" w:w="57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values</w:t>
            </w:r>
          </w:p>
        </w:tc>
        <w:tc>
          <w:tcPr>
            <w:tcW w:type="dxa" w:w="633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 pass, component-value category</w:t>
            </w:r>
          </w:p>
        </w:tc>
      </w:tr>
      <w:tr>
        <w:tc>
          <w:tcPr>
            <w:tcW w:type="dxa" w:w="5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Nesting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90% pass, nesting category; zero regressions on milestones 1–4's gates</w:t>
            </w:r>
          </w:p>
        </w:tc>
      </w:tr>
      <w:tr>
        <w:tc>
          <w:tcPr>
            <w:tcW w:type="dxa" w:w="57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Selectors</w:t>
            </w:r>
          </w:p>
        </w:tc>
        <w:tc>
          <w:tcPr>
            <w:tcW w:type="dxa" w:w="633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on the An+B vector suite (§2.6-style, fully enumerable); combinator/attribute coverage checked against the real-world corpus (§4.4)</w:t>
            </w:r>
          </w:p>
        </w:tc>
      </w:tr>
      <w:tr>
        <w:tc>
          <w:tcPr>
            <w:tcW w:type="dxa" w:w="5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Values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on the hand-built calc() arithmetic vectors; var() fallback structural correctness on the same</w:t>
            </w:r>
          </w:p>
        </w:tc>
      </w:tr>
      <w:tr>
        <w:tc>
          <w:tcPr>
            <w:tcW w:type="dxa" w:w="57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At-rule catalog</w:t>
            </w:r>
          </w:p>
        </w:tc>
        <w:tc>
          <w:tcPr>
            <w:tcW w:type="dxa" w:w="633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prelude/block parse succeeds (no panic/misparse) on 100% of the at-rule sample in the real-world corpus</w:t>
            </w:r>
          </w:p>
        </w:tc>
      </w:tr>
      <w:tr>
        <w:tc>
          <w:tcPr>
            <w:tcW w:type="dxa" w:w="5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Error-recovery hardening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 fuzzer-found panics/hangs over ≥ 24 CPU-hours (§2.5); recovery agreement (§2.4) ≥ 90%</w:t>
            </w:r>
          </w:p>
        </w:tc>
      </w:tr>
      <w:tr>
        <w:tc>
          <w:tcPr>
            <w:tcW w:type="dxa" w:w="57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48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Test-suite integration</w:t>
            </w:r>
          </w:p>
        </w:tc>
        <w:tc>
          <w:tcPr>
            <w:tcW w:type="dxa" w:w="633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CI gates (§4.5) green; regression dashboard operational</w:t>
            </w:r>
          </w:p>
        </w:tc>
      </w:tr>
    </w:tbl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6. Reporting: Scorecard Template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A compact snapshot to fill in at every release or milestone sign-off — this table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the living checklist this document promised in §1. Copy it forward each time and diff against the previous entry rather than starting a fresh one, so trend (the last column) stays meaningful.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727"/>
        <w:gridCol w:w="2016"/>
      </w:tblGrid>
      <w:tr>
        <w:trPr>
          <w:tblHeader/>
        </w:trPr>
        <w:tc>
          <w:tcPr>
            <w:tcW w:type="dxa" w:w="3744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27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16"/>
            <w:shd w:fill="1A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WPT tokenizer pass rate (§2.1)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99%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WPT rule/stylesheet pass rate (§2.1)</w:t>
            </w:r>
          </w:p>
        </w:tc>
        <w:tc>
          <w:tcPr>
            <w:tcW w:type="dxa" w:w="187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1727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Round-trip fixpoint rate (§2.2)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Differential parity vs. cssparser (§2.3)</w:t>
            </w:r>
          </w:p>
        </w:tc>
        <w:tc>
          <w:tcPr>
            <w:tcW w:type="dxa" w:w="187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727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Error-recovery agreement (§2.4)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Fuzz crash-free CPU-hours (§2.5)</w:t>
            </w:r>
          </w:p>
        </w:tc>
        <w:tc>
          <w:tcPr>
            <w:tcW w:type="dxa" w:w="187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24h</w:t>
            </w:r>
          </w:p>
        </w:tc>
        <w:tc>
          <w:tcPr>
            <w:tcW w:type="dxa" w:w="1727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Unicode/escape vector suite (§2.6)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Throughput, medium tier (§3.2)</w:t>
            </w:r>
          </w:p>
        </w:tc>
        <w:tc>
          <w:tcPr>
            <w:tcW w:type="dxa" w:w="187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&amp; track</w:t>
            </w:r>
          </w:p>
        </w:tc>
        <w:tc>
          <w:tcPr>
            <w:tcW w:type="dxa" w:w="1727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Latency p95, small tier (§3.3)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RSS ratio (§3.4)</w:t>
            </w:r>
          </w:p>
        </w:tc>
        <w:tc>
          <w:tcPr>
            <w:tcW w:type="dxa" w:w="1872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&amp; track</w:t>
            </w:r>
          </w:p>
        </w:tc>
        <w:tc>
          <w:tcPr>
            <w:tcW w:type="dxa" w:w="1727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Borrow ratio (§3.4)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&amp; track</w:t>
            </w:r>
          </w:p>
        </w:tc>
        <w:tc>
          <w:tcPr>
            <w:tcW w:type="dxa" w:w="1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9AA7B4" w:sz="6" w:space="4"/>
        </w:pBdr>
        <w:spacing w:after="200" w:before="420"/>
      </w:pPr>
      <w:r>
        <w:t xml:space="preserve">7. References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CSS Parser — Technical Specification</w:t>
      </w:r>
      <w:r>
        <w:rPr>
          <w:rFonts w:ascii="Calibri" w:cs="Calibri" w:eastAsia="Calibri" w:hAnsi="Calibri"/>
          <w:sz w:val="22"/>
          <w:szCs w:val="22"/>
        </w:rPr>
        <w:t xml:space="preserve">, Draft 0.1 — the companion document this one extends (Sections 8–10 in particular)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web-platform-tests</w:t>
      </w:r>
      <w:r>
        <w:rPr>
          <w:rFonts w:ascii="Calibri" w:cs="Calibri" w:eastAsia="Calibri" w:hAnsi="Calibri"/>
          <w:sz w:val="22"/>
          <w:szCs w:val="22"/>
        </w:rPr>
        <w:t xml:space="preserve">, css/css-syntax suite — </w:t>
      </w:r>
      <w:hyperlink w:history="1" r:id="rId3ufujjv_xce3n438pnm0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https://github.com/web-platform-tests/wpt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criterion</w:t>
      </w:r>
      <w:r>
        <w:rPr>
          <w:rFonts w:ascii="Calibri" w:cs="Calibri" w:eastAsia="Calibri" w:hAnsi="Calibri"/>
          <w:sz w:val="22"/>
          <w:szCs w:val="22"/>
        </w:rPr>
        <w:t xml:space="preserve"> (Rust benchmarking) — </w:t>
      </w:r>
      <w:hyperlink w:history="1" r:id="rIddpppvtt_gkym20hpca68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https://docs.rs/criterion/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v02ndm2fkoaxqgsh3ywj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https://github.com/criterion-rs/criterion.rs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cargo-fuzz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hyperlink w:history="1" r:id="rIdhthvlzndlkgwiuozk9nl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https://github.com/rust-fuzz/cargo-fuzz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fxdco5frry1nzpay2yds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https://rust-fuzz.github.io/book/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dhat</w:t>
      </w:r>
      <w:r>
        <w:rPr>
          <w:rFonts w:ascii="Calibri" w:cs="Calibri" w:eastAsia="Calibri" w:hAnsi="Calibri"/>
          <w:sz w:val="22"/>
          <w:szCs w:val="22"/>
        </w:rPr>
        <w:t xml:space="preserve"> (heap profiling) — </w:t>
      </w:r>
      <w:hyperlink w:history="1" r:id="rIdq7v338zhwjkctx6uegl1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https://docs.rs/dhat/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84w8z-8qdkrtr21zkb6q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https://github.com/nnethercote/dhat-rs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cssparser</w:t>
      </w:r>
      <w:r>
        <w:rPr>
          <w:rFonts w:ascii="Calibri" w:cs="Calibri" w:eastAsia="Calibri" w:hAnsi="Calibri"/>
          <w:sz w:val="22"/>
          <w:szCs w:val="22"/>
        </w:rPr>
        <w:t xml:space="preserve"> (Rust crate, Servo/Mozilla) — </w:t>
      </w:r>
      <w:hyperlink w:history="1" r:id="rIdczjilwyjp4tsgovmunjq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https://docs.rs/cssparser/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lightningcss</w:t>
      </w:r>
      <w:r>
        <w:rPr>
          <w:rFonts w:ascii="Calibri" w:cs="Calibri" w:eastAsia="Calibri" w:hAnsi="Calibri"/>
          <w:sz w:val="22"/>
          <w:szCs w:val="22"/>
        </w:rPr>
        <w:t xml:space="preserve"> (Rust crate, SIMD-accelerated, built on cssparser) — </w:t>
      </w:r>
      <w:hyperlink w:history="1" r:id="rIdkec0ocrwtfubbqsrp75x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https://docs.rs/lightningcss/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zt0ndxfzatrijgfqxmax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https://github.com/parcel-bundler/lightningcss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Rust Performance Book</w:t>
      </w:r>
      <w:r>
        <w:rPr>
          <w:rFonts w:ascii="Calibri" w:cs="Calibri" w:eastAsia="Calibri" w:hAnsi="Calibri"/>
          <w:sz w:val="22"/>
          <w:szCs w:val="22"/>
        </w:rPr>
        <w:t xml:space="preserve">, Heap Allocations chapter — </w:t>
      </w:r>
      <w:hyperlink w:history="1" r:id="rIdvkzxrayx7yolbbtvdf9d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https://nnethercote.github.io/perf-book/heap-allocations.html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20"/>
    </w:pPr>
    <w:rPr>
      <w:rFonts w:ascii="Calibri" w:cs="Calibri" w:eastAsia="Calibri" w:hAnsi="Calibr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2sc5z9wyrkqzyr09kvzn" Type="http://schemas.openxmlformats.org/officeDocument/2006/relationships/hyperlink" Target="https://github.com/web-platform-tests/wpt" TargetMode="External"/><Relationship Id="rId3ufujjv_xce3n438pnm0r" Type="http://schemas.openxmlformats.org/officeDocument/2006/relationships/hyperlink" Target="https://github.com/web-platform-tests/wpt" TargetMode="External"/><Relationship Id="rIddpppvtt_gkym20hpca68g" Type="http://schemas.openxmlformats.org/officeDocument/2006/relationships/hyperlink" Target="https://docs.rs/criterion/" TargetMode="External"/><Relationship Id="rIdv02ndm2fkoaxqgsh3ywjt" Type="http://schemas.openxmlformats.org/officeDocument/2006/relationships/hyperlink" Target="https://github.com/criterion-rs/criterion.rs" TargetMode="External"/><Relationship Id="rIdhthvlzndlkgwiuozk9nlv" Type="http://schemas.openxmlformats.org/officeDocument/2006/relationships/hyperlink" Target="https://github.com/rust-fuzz/cargo-fuzz" TargetMode="External"/><Relationship Id="rIdfxdco5frry1nzpay2ydsu" Type="http://schemas.openxmlformats.org/officeDocument/2006/relationships/hyperlink" Target="https://rust-fuzz.github.io/book/" TargetMode="External"/><Relationship Id="rIdq7v338zhwjkctx6uegl19" Type="http://schemas.openxmlformats.org/officeDocument/2006/relationships/hyperlink" Target="https://docs.rs/dhat/" TargetMode="External"/><Relationship Id="rId84w8z-8qdkrtr21zkb6qv" Type="http://schemas.openxmlformats.org/officeDocument/2006/relationships/hyperlink" Target="https://github.com/nnethercote/dhat-rs" TargetMode="External"/><Relationship Id="rIdczjilwyjp4tsgovmunjq9" Type="http://schemas.openxmlformats.org/officeDocument/2006/relationships/hyperlink" Target="https://docs.rs/cssparser/" TargetMode="External"/><Relationship Id="rIdkec0ocrwtfubbqsrp75x7" Type="http://schemas.openxmlformats.org/officeDocument/2006/relationships/hyperlink" Target="https://docs.rs/lightningcss/" TargetMode="External"/><Relationship Id="rIdzt0ndxfzatrijgfqxmaxq" Type="http://schemas.openxmlformats.org/officeDocument/2006/relationships/hyperlink" Target="https://github.com/parcel-bundler/lightningcss" TargetMode="External"/><Relationship Id="rIdvkzxrayx7yolbbtvdf9dj" Type="http://schemas.openxmlformats.org/officeDocument/2006/relationships/hyperlink" Target="https://nnethercote.github.io/perf-book/heap-allocations.html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Parser — Evaluation Metrics: Performance and Correctness</dc:title>
  <dc:creator>Claude</dc:creator>
  <dc:description>Companion to the CSS Parser Technical Specification: concrete correctness and performance metrics, tooling, and per-milestone acceptance criteria.</dc:description>
  <cp:lastModifiedBy>Un-named</cp:lastModifiedBy>
  <cp:revision>1</cp:revision>
  <dcterms:created xsi:type="dcterms:W3CDTF">2026-08-23T05:58:21.720Z</dcterms:created>
  <dcterms:modified xsi:type="dcterms:W3CDTF">2026-08-23T05:58:21.720Z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