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/>
      </w:pPr>
      <w:r>
        <w:rPr>
          <w:rtl w:val="true"/>
        </w:rPr>
        <w:t>الجمهوريّة التونسيّة</w:t>
      </w:r>
    </w:p>
    <w:p>
      <w:pPr>
        <w:pStyle w:val="Normal"/>
        <w:bidi w:val="1"/>
        <w:jc w:val="left"/>
        <w:rPr/>
      </w:pPr>
      <w:r>
        <w:rPr>
          <w:rtl w:val="true"/>
        </w:rPr>
        <w:t>بطاقة بيداغوجيّة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الدورة التكوينيّة حول </w:t>
      </w:r>
      <w:r>
        <w:rPr>
          <w:rtl w:val="true"/>
        </w:rPr>
        <w:t xml:space="preserve">" </w:t>
      </w:r>
      <w:r>
        <w:rPr>
          <w:rtl w:val="true"/>
        </w:rPr>
        <w:t xml:space="preserve">إستعمال وصيانة الأسلحة </w:t>
      </w:r>
      <w:r>
        <w:rPr>
          <w:rtl w:val="true"/>
        </w:rPr>
        <w:t>"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❖ </w:t>
      </w:r>
      <w:r>
        <w:rPr>
          <w:rtl w:val="true"/>
        </w:rPr>
        <w:t>تقديم الدّورة التكوينيّة</w:t>
      </w:r>
      <w:r>
        <w:rPr>
          <w:rtl w:val="true"/>
        </w:rPr>
        <w:t>:</w:t>
      </w:r>
    </w:p>
    <w:tbl>
      <w:tblPr>
        <w:tblStyle w:val="TableGrid"/>
        <w:bidiVisual w:val="true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موضوع التكوين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المستهدفون بالتكوين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عدد المشاركين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المصالح المعنية بالمشاركة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نوع التكوين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إستعمال وصيانة الأسلحة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ضبّاط وضبّاط صف الديوانة المباشرين بالمكاتب الراجعة بالنظر للإدارة الجهويّة للديوانة بالقصرين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.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ضبّاط وضبّاط صف الديوانة المباشرين والراجعين بالنظر للوحدة الرّابعة للحرس الديواني بقفصة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.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12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المكاتب الجهويّة للديوانة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المكاتب الحدوديّة للديوانة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فرق الحراسة والتفتيشات الديوانيّة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مستمر حضوري</w:t>
            </w:r>
          </w:p>
        </w:tc>
      </w:tr>
    </w:tbl>
    <w:p>
      <w:pPr>
        <w:pStyle w:val="Normal"/>
        <w:bidi w:val="1"/>
        <w:jc w:val="left"/>
        <w:rPr/>
      </w:pPr>
      <w:r>
        <w:rPr>
          <w:rtl w:val="true"/>
        </w:rPr>
      </w:r>
    </w:p>
    <w:tbl>
      <w:tblPr>
        <w:tblStyle w:val="TableGrid"/>
        <w:bidiVisual w:val="true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محاور الدورة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أهداف الدورة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أصناف الأسلحة المتوفرة وخصائصها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الخصائص الفنيّة للأسلحة المعتمدة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إستعمال و تفكيك و صيانة الأسلحة المعتمدة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دروس نظرية حول مختلف أوضاع الرمي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دروس نظرية حول تحوطات الأمان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التعرّف على أصناف الأسلحة والذخيرة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التعرّف على الخصائص الفنيّة للأسلحة المعتمدة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القدرة على تفكيك واستعمال وصيانة الأسلحة المعتمدة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التمكّن من تحوطات الأمان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.</w:t>
            </w:r>
          </w:p>
        </w:tc>
      </w:tr>
    </w:tbl>
    <w:p>
      <w:pPr>
        <w:pStyle w:val="Normal"/>
        <w:bidi w:val="1"/>
        <w:jc w:val="left"/>
        <w:rPr/>
      </w:pPr>
      <w:r>
        <w:rPr>
          <w:rtl w:val="true"/>
        </w:rPr>
        <w:t xml:space="preserve">❖ </w:t>
      </w:r>
      <w:r>
        <w:rPr>
          <w:rtl w:val="true"/>
        </w:rPr>
        <w:t>الإطار المكاني والزّماني للدّورة التكوينيّة</w:t>
      </w:r>
      <w:r>
        <w:rPr>
          <w:rtl w:val="true"/>
        </w:rPr>
        <w:t>:</w:t>
      </w:r>
    </w:p>
    <w:tbl>
      <w:tblPr>
        <w:tblStyle w:val="TableGrid"/>
        <w:bidiVisual w:val="true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الإطار المكاني والزماني للدورة التكوينية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مكان التكوين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تاريخ الدّورة التكوينيّة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مركز التّكوين الديواني بالوسط الغربي بالقصرين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26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 xml:space="preserve">فيفري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2026</w:t>
            </w:r>
          </w:p>
        </w:tc>
      </w:tr>
    </w:tbl>
    <w:p>
      <w:pPr>
        <w:pStyle w:val="Normal"/>
        <w:bidi w:val="1"/>
        <w:jc w:val="left"/>
        <w:rPr/>
      </w:pPr>
      <w:r>
        <w:rPr>
          <w:rtl w:val="true"/>
        </w:rPr>
        <w:t xml:space="preserve">❖ </w:t>
      </w:r>
      <w:r>
        <w:rPr>
          <w:rtl w:val="true"/>
        </w:rPr>
        <w:t>الطرق والمعينات البيداغوجيّة</w:t>
      </w:r>
      <w:r>
        <w:rPr>
          <w:rtl w:val="true"/>
        </w:rPr>
        <w:t>:</w:t>
      </w:r>
    </w:p>
    <w:tbl>
      <w:tblPr>
        <w:tblStyle w:val="TableGrid"/>
        <w:bidiVisual w:val="true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الطرق البيداغوجية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المعينات البيداغوجية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 xml:space="preserve">العصف الذهني 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(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Brain Storming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)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عروض نظرية وتطبيقية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.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 xml:space="preserve">عروض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PPT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.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تمارين تطبيقية متنوعة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.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نقاش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حاسوب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 xml:space="preserve">آلة عرض 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(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data show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)</w:t>
            </w:r>
          </w:p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سبورة حائطية</w:t>
            </w:r>
          </w:p>
        </w:tc>
      </w:tr>
    </w:tbl>
    <w:p>
      <w:pPr>
        <w:pStyle w:val="Normal"/>
        <w:bidi w:val="1"/>
        <w:jc w:val="left"/>
        <w:rPr/>
      </w:pPr>
      <w:r>
        <w:rPr>
          <w:rtl w:val="true"/>
        </w:rPr>
        <w:t xml:space="preserve">❖ </w:t>
      </w:r>
      <w:r>
        <w:rPr>
          <w:rtl w:val="true"/>
        </w:rPr>
        <w:t>الإعداد المادي والتّجهيزات والمعدات الخصوصيّة</w:t>
      </w:r>
      <w:r>
        <w:rPr>
          <w:rtl w:val="true"/>
        </w:rPr>
        <w:t>:</w:t>
      </w:r>
    </w:p>
    <w:tbl>
      <w:tblPr>
        <w:tblStyle w:val="TableGrid"/>
        <w:bidiVisual w:val="true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الإعداد المادي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التجهيزات والمعدات الخصوصية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 xml:space="preserve">قاعة تدريس بطاقة استيعاب في حدود عشرون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20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شخصا</w:t>
            </w: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>.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rtl w:val="true"/>
                <w:lang w:val="en-US" w:eastAsia="en-US" w:bidi="ar-SA"/>
              </w:rPr>
              <w:t xml:space="preserve">- </w:t>
            </w:r>
            <w:r>
              <w:rPr>
                <w:rFonts w:ascii="Cambria" w:hAnsi="Cambria" w:eastAsia="ＭＳ 明朝"/>
                <w:kern w:val="0"/>
                <w:sz w:val="22"/>
                <w:sz w:val="22"/>
                <w:szCs w:val="22"/>
                <w:rtl w:val="true"/>
                <w:lang w:val="en-US" w:eastAsia="en-US" w:bidi="ar-SA"/>
              </w:rPr>
              <w:t>لاشئ</w:t>
            </w:r>
          </w:p>
        </w:tc>
      </w:tr>
    </w:tbl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