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When Do Clinical Tabular Models Fail Silently?</w:t>
        <w:br/>
        <w:t>A Temporal Deployment Monitoring Benchmark</w:t>
      </w:r>
    </w:p>
    <w:p>
      <w:pPr>
        <w:jc w:val="center"/>
      </w:pPr>
      <w:r>
        <w:rPr>
          <w:rFonts w:ascii="Times New Roman" w:hAnsi="Times New Roman"/>
          <w:sz w:val="20"/>
        </w:rPr>
        <w:t>Nigamanth Rajagopalan</w:t>
        <w:br/>
        <w:t>M.S. AI Systems, University of Florida</w:t>
        <w:br/>
        <w:t>EGN 6217 Applied Deep Learning — Spring 2026</w:t>
        <w:br/>
        <w:t>n.rajagopalan@u.edu</w:t>
      </w:r>
    </w:p>
    <w:p/>
    <w:p>
      <w:pPr>
        <w:jc w:val="center"/>
      </w:pPr>
      <w:r>
        <w:rPr>
          <w:rFonts w:ascii="Times New Roman" w:hAnsi="Times New Roman"/>
          <w:b/>
          <w:i/>
          <w:sz w:val="20"/>
        </w:rPr>
        <w:t>Abstract</w:t>
      </w:r>
    </w:p>
    <w:p>
      <w:pPr>
        <w:jc w:val="both"/>
        <w:ind w:left="720" w:right="720"/>
      </w:pPr>
      <w:r>
        <w:rPr>
          <w:rFonts w:ascii="Times New Roman" w:hAnsi="Times New Roman"/>
          <w:i w:val="0"/>
          <w:sz w:val="20"/>
        </w:rPr>
        <w:t>Clinical machine-learning models are trained once and then deployed into environments that evolve over time. Silent failure occurs when model accuracy degrades without triggering visible monitoring alarms. This paper describes a controlled benchmark in which four uncertainty estimation methods -- Conformal Prediction (MAPIE), NGBoost, MC Dropout MLP, and TabTransformer -- are evaluated under three synthetic failure modes (covariate shift, label noise, and feature missingness) at ten severity levels on two clinical tabular datasets (Pima Diabetes and Cleveland Heart Disease). Detection delay -- the gap in severity alpha between when uncertainty alarms fire and when accuracy actually drops -- is the primary metric. On the Pima dataset under covariate shift, NGBoost and TabTransformer achieve a detection delay of +0.2 versus +0.3 for Conformal and MC Dropout, demonstrating that entropy-based methods are more sensitive early-warning monitors. Known limitations regarding label-noise detection and small-dataset statistical power are documented.</w:t>
      </w:r>
    </w:p>
    <w:p/>
    <w:p>
      <w:pPr>
        <w:jc w:val="both"/>
        <w:ind w:left="720" w:right="720"/>
      </w:pPr>
      <w:r>
        <w:rPr>
          <w:rFonts w:ascii="Times New Roman" w:hAnsi="Times New Roman"/>
          <w:b/>
          <w:sz w:val="20"/>
        </w:rPr>
        <w:t xml:space="preserve">Keywords: </w:t>
      </w:r>
      <w:r>
        <w:rPr>
          <w:rFonts w:ascii="Times New Roman" w:hAnsi="Times New Roman"/>
          <w:sz w:val="20"/>
        </w:rPr>
        <w:t>uncertainty quantification, deployment monitoring, conformal prediction, NGBoost, TabTransformer, MC Dropout, covariate shift, clinical AI</w:t>
      </w:r>
    </w:p>
    <w:p>
      <w:pPr>
        <w:sectPr>
          <w:type w:val="continuous"/>
          <w:pgSz w:w="12240" w:h="15840"/>
          <w:pgMar w:top="1440" w:right="1080" w:bottom="1440" w:left="1080" w:header="720" w:footer="720" w:gutter="0"/>
        </w:sectPr>
      </w:pPr>
    </w:p>
    <w:p>
      <w:pPr>
        <w:sectPr>
          <w:pgSz w:w="12240" w:h="15840"/>
          <w:pgMar w:top="1440" w:right="1080" w:bottom="1440" w:left="1080" w:header="720" w:footer="720" w:gutter="0"/>
          <w:cols w:space="720"/>
          <w:docGrid w:linePitch="360"/>
        </w:sectPr>
      </w:pPr>
    </w:p>
    <w:p>
      <w:pPr>
        <w:jc w:val="left"/>
        <w:spacing w:before="120" w:after="60"/>
      </w:pPr>
      <w:r>
        <w:rPr>
          <w:rFonts w:ascii="Times New Roman" w:hAnsi="Times New Roman"/>
          <w:b/>
          <w:sz w:val="20"/>
        </w:rPr>
        <w:t>I.  PROJECT SUMMARY</w:t>
      </w:r>
    </w:p>
    <w:p>
      <w:pPr>
        <w:jc w:val="both"/>
        <w:spacing w:after="80" w:line="240" w:lineRule="auto"/>
        <w:ind w:firstLine="360"/>
      </w:pPr>
      <w:r>
        <w:rPr>
          <w:rFonts w:ascii="Times New Roman" w:hAnsi="Times New Roman"/>
          <w:sz w:val="20"/>
        </w:rPr>
        <w:t>Deployed clinical models are subject to gradual distribution drift caused by changes in patient demographics, measurement devices, clinical protocols, or documentation practices. Unlike catastrophic failures, silent failure is particularly dangerous because the model continues producing predictions at normal volume while its reliability quietly erodes.</w:t>
      </w:r>
    </w:p>
    <w:p>
      <w:pPr>
        <w:jc w:val="both"/>
        <w:spacing w:after="80" w:line="240" w:lineRule="auto"/>
        <w:ind w:firstLine="360"/>
      </w:pPr>
      <w:r>
        <w:rPr>
          <w:rFonts w:ascii="Times New Roman" w:hAnsi="Times New Roman"/>
          <w:sz w:val="20"/>
        </w:rPr>
        <w:t>This project builds a reproducible benchmark that quantifies how quickly four uncertainty estimation methods can detect three categories of controlled failure on two publicly available clinical tabular datasets. The core contribution of Deliverable 3 is the addition of a fourth uncertainty estimator -- a TabTransformer with Monte Carlo dropout inference -- alongside hyperparameter tuning, per-dataset training-curve visualizations, a fully integrated Streamlit monitoring interface, and a rigorous Known Limitations analysis that contextualizes the benchmark's null results.</w:t>
      </w:r>
    </w:p>
    <w:p>
      <w:pPr>
        <w:jc w:val="left"/>
        <w:spacing w:before="120" w:after="60"/>
      </w:pPr>
      <w:r>
        <w:rPr>
          <w:rFonts w:ascii="Times New Roman" w:hAnsi="Times New Roman"/>
          <w:b/>
          <w:sz w:val="20"/>
        </w:rPr>
        <w:t>II.  UPDATED SYSTEM ARCHITECTURE AND PIPELINE</w:t>
      </w:r>
    </w:p>
    <w:p>
      <w:pPr>
        <w:jc w:val="both"/>
        <w:spacing w:after="80" w:line="240" w:lineRule="auto"/>
        <w:ind w:firstLine="360"/>
      </w:pPr>
      <w:r>
        <w:rPr>
          <w:rFonts w:ascii="Times New Roman" w:hAnsi="Times New Roman"/>
          <w:sz w:val="20"/>
        </w:rPr>
        <w:t>Figure 1 (conceptual) illustrates the revised five-stage pipeline. Stage 1 loads and splits each dataset into train (60%), calibration (20%), and test (20%) splits with stratification. Stage 2 trains four model components: an XGBoost classifier (the production surrogate), an NGBoost classifier (Bernoulli distribution), an MC Dropout MLP (two hidden layers, dropout=0.3), and a TabTransformer (embed_dim=64, nhead=2, two TransformerEncoderLayer blocks, mlp_dropout=0.5). Stage 3 wraps the XGBoost model with MAPIE SplitConformalClassifier using the calibration split. Stage 4 applies the three failure injection modes at ten severity levels alpha in {0.0, 0.1, ..., 0.9}. Stage 5 runs KS-test alarms on uncertainty distributions (three consecutive p&lt;0.05 rejections) and records detection delay.</w:t>
      </w:r>
    </w:p>
    <w:p>
      <w:pPr>
        <w:jc w:val="both"/>
        <w:spacing w:after="80" w:line="240" w:lineRule="auto"/>
        <w:ind w:firstLine="360"/>
      </w:pPr>
      <w:r>
        <w:rPr>
          <w:rFonts w:ascii="Times New Roman" w:hAnsi="Times New Roman"/>
          <w:sz w:val="20"/>
        </w:rPr>
        <w:t>Key architectural changes since Deliverable 2: (1) MAPIE 1.x API migration from the deprecated MapieClassifier to SplitConformalClassifier with the .conformalize() interface; (2) XGBoost 2.x removal of the deprecated use_label_encoder parameter; (3) TabTransformer replacing the original MC Dropout MLP as the primary deep learning baseline, with MC Dropout retained as a second DL baseline; (4) addition of ReduceLROnPlateau scheduler (patience=20, factor=0.5) for stable TabTransformer convergence over 250 epochs.</w:t>
      </w:r>
    </w:p>
    <w:p>
      <w:pPr>
        <w:jc w:val="left"/>
        <w:spacing w:before="120" w:after="60"/>
      </w:pPr>
      <w:r>
        <w:rPr>
          <w:rFonts w:ascii="Times New Roman" w:hAnsi="Times New Roman"/>
          <w:b/>
          <w:sz w:val="18"/>
        </w:rPr>
        <w:t>A.  Model Components</w:t>
      </w:r>
    </w:p>
    <w:tbl>
      <w:tblPr>
        <w:tblStyle w:val="TableGrid"/>
        <w:tblW w:type="auto" w:w="0"/>
        <w:tblLook w:firstColumn="1" w:firstRow="1" w:lastColumn="0" w:lastRow="0" w:noHBand="0" w:noVBand="1" w:val="04A0"/>
      </w:tblPr>
      <w:tblGrid>
        <w:gridCol w:w="3360"/>
        <w:gridCol w:w="3360"/>
        <w:gridCol w:w="3360"/>
      </w:tblGrid>
      <w:tr>
        <w:tc>
          <w:tcPr>
            <w:tcW w:type="dxa" w:w="1872"/>
            <w:shd w:val="clear" w:color="auto" w:fill="2E4057"/>
            <w:tcW w:w="1872" w:type="dxa"/>
          </w:tcPr>
          <w:p>
            <w:pPr>
              <w:jc w:val="center"/>
            </w:pPr>
            <w:r>
              <w:rPr>
                <w:rFonts w:ascii="Times New Roman" w:hAnsi="Times New Roman"/>
                <w:b/>
                <w:color w:val="FFFFFF"/>
                <w:sz w:val="18"/>
              </w:rPr>
              <w:t>Method</w:t>
            </w:r>
          </w:p>
        </w:tc>
        <w:tc>
          <w:tcPr>
            <w:tcW w:type="dxa" w:w="1440"/>
            <w:shd w:val="clear" w:color="auto" w:fill="2E4057"/>
            <w:tcW w:w="1440" w:type="dxa"/>
          </w:tcPr>
          <w:p>
            <w:pPr>
              <w:jc w:val="center"/>
            </w:pPr>
            <w:r>
              <w:rPr>
                <w:rFonts w:ascii="Times New Roman" w:hAnsi="Times New Roman"/>
                <w:b/>
                <w:color w:val="FFFFFF"/>
                <w:sz w:val="18"/>
              </w:rPr>
              <w:t>Type</w:t>
            </w:r>
          </w:p>
        </w:tc>
        <w:tc>
          <w:tcPr>
            <w:tcW w:type="dxa" w:w="2520"/>
            <w:shd w:val="clear" w:color="auto" w:fill="2E4057"/>
            <w:tcW w:w="2520" w:type="dxa"/>
          </w:tcPr>
          <w:p>
            <w:pPr>
              <w:jc w:val="center"/>
            </w:pPr>
            <w:r>
              <w:rPr>
                <w:rFonts w:ascii="Times New Roman" w:hAnsi="Times New Roman"/>
                <w:b/>
                <w:color w:val="FFFFFF"/>
                <w:sz w:val="18"/>
              </w:rPr>
              <w:t>Uncertainty Signal</w:t>
            </w:r>
          </w:p>
        </w:tc>
      </w:tr>
      <w:tr>
        <w:tc>
          <w:tcPr>
            <w:tcW w:type="dxa" w:w="1872"/>
            <w:shd w:val="clear" w:color="auto" w:fill="EAF2FF"/>
            <w:tcW w:w="1872" w:type="dxa"/>
          </w:tcPr>
          <w:p>
            <w:r>
              <w:rPr>
                <w:rFonts w:ascii="Times New Roman" w:hAnsi="Times New Roman"/>
                <w:sz w:val="18"/>
              </w:rPr>
              <w:t>Conformal (MAPIE)</w:t>
            </w:r>
          </w:p>
        </w:tc>
        <w:tc>
          <w:tcPr>
            <w:tcW w:type="dxa" w:w="1440"/>
            <w:shd w:val="clear" w:color="auto" w:fill="EAF2FF"/>
            <w:tcW w:w="1440" w:type="dxa"/>
          </w:tcPr>
          <w:p>
            <w:r>
              <w:rPr>
                <w:rFonts w:ascii="Times New Roman" w:hAnsi="Times New Roman"/>
                <w:sz w:val="18"/>
              </w:rPr>
              <w:t>Classical</w:t>
            </w:r>
          </w:p>
        </w:tc>
        <w:tc>
          <w:tcPr>
            <w:tcW w:type="dxa" w:w="2520"/>
            <w:shd w:val="clear" w:color="auto" w:fill="EAF2FF"/>
            <w:tcW w:w="2520" w:type="dxa"/>
          </w:tcPr>
          <w:p>
            <w:r>
              <w:rPr>
                <w:rFonts w:ascii="Times New Roman" w:hAnsi="Times New Roman"/>
                <w:sz w:val="18"/>
              </w:rPr>
              <w:t>1 - max softmax prob</w:t>
            </w:r>
          </w:p>
        </w:tc>
      </w:tr>
      <w:tr>
        <w:tc>
          <w:tcPr>
            <w:tcW w:type="dxa" w:w="1872"/>
            <w:shd w:val="clear" w:color="auto" w:fill="FFFFFF"/>
            <w:tcW w:w="1872" w:type="dxa"/>
          </w:tcPr>
          <w:p>
            <w:r>
              <w:rPr>
                <w:rFonts w:ascii="Times New Roman" w:hAnsi="Times New Roman"/>
                <w:sz w:val="18"/>
              </w:rPr>
              <w:t>NGBoost</w:t>
            </w:r>
          </w:p>
        </w:tc>
        <w:tc>
          <w:tcPr>
            <w:tcW w:type="dxa" w:w="1440"/>
            <w:shd w:val="clear" w:color="auto" w:fill="FFFFFF"/>
            <w:tcW w:w="1440" w:type="dxa"/>
          </w:tcPr>
          <w:p>
            <w:r>
              <w:rPr>
                <w:rFonts w:ascii="Times New Roman" w:hAnsi="Times New Roman"/>
                <w:sz w:val="18"/>
              </w:rPr>
              <w:t>Classical</w:t>
            </w:r>
          </w:p>
        </w:tc>
        <w:tc>
          <w:tcPr>
            <w:tcW w:type="dxa" w:w="2520"/>
            <w:shd w:val="clear" w:color="auto" w:fill="FFFFFF"/>
            <w:tcW w:w="2520" w:type="dxa"/>
          </w:tcPr>
          <w:p>
            <w:r>
              <w:rPr>
                <w:rFonts w:ascii="Times New Roman" w:hAnsi="Times New Roman"/>
                <w:sz w:val="18"/>
              </w:rPr>
              <w:t>Bernoulli entropy H(p)</w:t>
            </w:r>
          </w:p>
        </w:tc>
      </w:tr>
      <w:tr>
        <w:tc>
          <w:tcPr>
            <w:tcW w:type="dxa" w:w="1872"/>
            <w:shd w:val="clear" w:color="auto" w:fill="EAF2FF"/>
            <w:tcW w:w="1872" w:type="dxa"/>
          </w:tcPr>
          <w:p>
            <w:r>
              <w:rPr>
                <w:rFonts w:ascii="Times New Roman" w:hAnsi="Times New Roman"/>
                <w:sz w:val="18"/>
              </w:rPr>
              <w:t>MC Dropout MLP</w:t>
            </w:r>
          </w:p>
        </w:tc>
        <w:tc>
          <w:tcPr>
            <w:tcW w:type="dxa" w:w="1440"/>
            <w:shd w:val="clear" w:color="auto" w:fill="EAF2FF"/>
            <w:tcW w:w="1440" w:type="dxa"/>
          </w:tcPr>
          <w:p>
            <w:r>
              <w:rPr>
                <w:rFonts w:ascii="Times New Roman" w:hAnsi="Times New Roman"/>
                <w:sz w:val="18"/>
              </w:rPr>
              <w:t>Deep Learning</w:t>
            </w:r>
          </w:p>
        </w:tc>
        <w:tc>
          <w:tcPr>
            <w:tcW w:type="dxa" w:w="2520"/>
            <w:shd w:val="clear" w:color="auto" w:fill="EAF2FF"/>
            <w:tcW w:w="2520" w:type="dxa"/>
          </w:tcPr>
          <w:p>
            <w:r>
              <w:rPr>
                <w:rFonts w:ascii="Times New Roman" w:hAnsi="Times New Roman"/>
                <w:sz w:val="18"/>
              </w:rPr>
              <w:t>Variance across 100 passes</w:t>
            </w:r>
          </w:p>
        </w:tc>
      </w:tr>
      <w:tr>
        <w:tc>
          <w:tcPr>
            <w:tcW w:type="dxa" w:w="1872"/>
            <w:shd w:val="clear" w:color="auto" w:fill="FFFFFF"/>
            <w:tcW w:w="1872" w:type="dxa"/>
          </w:tcPr>
          <w:p>
            <w:r>
              <w:rPr>
                <w:rFonts w:ascii="Times New Roman" w:hAnsi="Times New Roman"/>
                <w:sz w:val="18"/>
              </w:rPr>
              <w:t>TabTransformer</w:t>
            </w:r>
          </w:p>
        </w:tc>
        <w:tc>
          <w:tcPr>
            <w:tcW w:type="dxa" w:w="1440"/>
            <w:shd w:val="clear" w:color="auto" w:fill="FFFFFF"/>
            <w:tcW w:w="1440" w:type="dxa"/>
          </w:tcPr>
          <w:p>
            <w:r>
              <w:rPr>
                <w:rFonts w:ascii="Times New Roman" w:hAnsi="Times New Roman"/>
                <w:sz w:val="18"/>
              </w:rPr>
              <w:t>Deep Learning</w:t>
            </w:r>
          </w:p>
        </w:tc>
        <w:tc>
          <w:tcPr>
            <w:tcW w:type="dxa" w:w="2520"/>
            <w:shd w:val="clear" w:color="auto" w:fill="FFFFFF"/>
            <w:tcW w:w="2520" w:type="dxa"/>
          </w:tcPr>
          <w:p>
            <w:r>
              <w:rPr>
                <w:rFonts w:ascii="Times New Roman" w:hAnsi="Times New Roman"/>
                <w:sz w:val="18"/>
              </w:rPr>
              <w:t>Entropy of mean prob (100 passes)</w:t>
            </w:r>
          </w:p>
        </w:tc>
      </w:tr>
    </w:tbl>
    <w:p/>
    <w:p>
      <w:pPr>
        <w:jc w:val="left"/>
        <w:spacing w:before="120" w:after="60"/>
      </w:pPr>
      <w:r>
        <w:rPr>
          <w:rFonts w:ascii="Times New Roman" w:hAnsi="Times New Roman"/>
          <w:b/>
          <w:sz w:val="20"/>
        </w:rPr>
        <w:t>III.  REFINEMENTS MADE SINCE DELIVERABLE 2</w:t>
      </w:r>
    </w:p>
    <w:p>
      <w:pPr>
        <w:jc w:val="both"/>
        <w:spacing w:after="80" w:line="240" w:lineRule="auto"/>
        <w:ind w:firstLine="360"/>
      </w:pPr>
      <w:r>
        <w:rPr>
          <w:rFonts w:ascii="Times New Roman" w:hAnsi="Times New Roman"/>
          <w:sz w:val="20"/>
        </w:rPr>
        <w:t>Deliverable 2 established a three-method pipeline (Conformal, NGBoost, MC Dropout MLP) on two datasets. Deliverable 3 introduces the following targeted refinements.</w:t>
      </w:r>
    </w:p>
    <w:p>
      <w:pPr>
        <w:jc w:val="left"/>
        <w:spacing w:before="120" w:after="60"/>
      </w:pPr>
      <w:r>
        <w:rPr>
          <w:rFonts w:ascii="Times New Roman" w:hAnsi="Times New Roman"/>
          <w:b/>
          <w:sz w:val="18"/>
        </w:rPr>
        <w:t>A.  TabTransformer Addition and Tuning</w:t>
      </w:r>
    </w:p>
    <w:p>
      <w:pPr>
        <w:jc w:val="both"/>
        <w:spacing w:after="80" w:line="240" w:lineRule="auto"/>
        <w:ind w:firstLine="360"/>
      </w:pPr>
      <w:r>
        <w:rPr>
          <w:rFonts w:ascii="Times New Roman" w:hAnsi="Times New Roman"/>
          <w:sz w:val="20"/>
        </w:rPr>
        <w:t>The original MC Dropout MLP used flat dropout-over-dense layers that produce well-behaved MC variance. Transformer architectures suppress MC variance structurally through residual connections and LayerNorm, making raw variance an unreliable shift signal. The TabTransformer therefore uses entropy of the mean predicted probability -- H(p) = -p*log(p) - (1-p)*log(1-p) -- computed over 100 stochastic forward passes. This signal shifts detectably under covariate drift while remaining stable on clean data.</w:t>
      </w:r>
    </w:p>
    <w:p>
      <w:pPr>
        <w:jc w:val="both"/>
        <w:spacing w:after="80" w:line="240" w:lineRule="auto"/>
        <w:ind w:firstLine="360"/>
      </w:pPr>
      <w:r>
        <w:rPr>
          <w:rFonts w:ascii="Times New Roman" w:hAnsi="Times New Roman"/>
          <w:sz w:val="20"/>
        </w:rPr>
        <w:t>Hyperparameters were tuned from the default (embed_dim=32, nhead=4, attn_dropout=0.1) to (embed_dim=64, nhead=2, attn_dropout=0.3, mlp_dropout=0.5). The larger embedding and higher dropout produce a model whose entropy distribution shifts earlier under covariate shift than MC Dropout variance, achieving delay=+0.2 versus +0.3 on the Pima dataset.</w:t>
      </w:r>
    </w:p>
    <w:p>
      <w:pPr>
        <w:jc w:val="left"/>
        <w:spacing w:before="120" w:after="60"/>
      </w:pPr>
      <w:r>
        <w:rPr>
          <w:rFonts w:ascii="Times New Roman" w:hAnsi="Times New Roman"/>
          <w:b/>
          <w:sz w:val="18"/>
        </w:rPr>
        <w:t>B.  Training Stability</w:t>
      </w:r>
    </w:p>
    <w:p>
      <w:pPr>
        <w:jc w:val="both"/>
        <w:spacing w:after="80" w:line="240" w:lineRule="auto"/>
        <w:ind w:firstLine="360"/>
      </w:pPr>
      <w:r>
        <w:rPr>
          <w:rFonts w:ascii="Times New Roman" w:hAnsi="Times New Roman"/>
          <w:sz w:val="20"/>
        </w:rPr>
        <w:t>A ReduceLROnPlateau scheduler was added to the TabTransformer optimizer (patience=20, factor=0.5, min_lr=1e-5) and gradient clipping (max_norm=1.0) was applied at each step. These changes eliminated the loss spikes visible in early training runs and allowed 250 epochs without divergence. Figure 2 shows the resulting training loss curves.</w:t>
      </w:r>
    </w:p>
    <w:p>
      <w:pPr>
        <w:jc w:val="center"/>
      </w:pPr>
      <w:r>
        <w:drawing>
          <wp:inline xmlns:a="http://schemas.openxmlformats.org/drawingml/2006/main" xmlns:pic="http://schemas.openxmlformats.org/drawingml/2006/picture">
            <wp:extent cx="2926080" cy="1672046"/>
            <wp:docPr id="1" name="Picture 1"/>
            <wp:cNvGraphicFramePr>
              <a:graphicFrameLocks noChangeAspect="1"/>
            </wp:cNvGraphicFramePr>
            <a:graphic>
              <a:graphicData uri="http://schemas.openxmlformats.org/drawingml/2006/picture">
                <pic:pic>
                  <pic:nvPicPr>
                    <pic:cNvPr id="0" name="training_curves_pima.png"/>
                    <pic:cNvPicPr/>
                  </pic:nvPicPr>
                  <pic:blipFill>
                    <a:blip r:embed="rId9"/>
                    <a:stretch>
                      <a:fillRect/>
                    </a:stretch>
                  </pic:blipFill>
                  <pic:spPr>
                    <a:xfrm>
                      <a:off x="0" y="0"/>
                      <a:ext cx="2926080" cy="1672046"/>
                    </a:xfrm>
                    <a:prstGeom prst="rect"/>
                  </pic:spPr>
                </pic:pic>
              </a:graphicData>
            </a:graphic>
          </wp:inline>
        </w:drawing>
      </w:r>
    </w:p>
    <w:p>
      <w:pPr>
        <w:jc w:val="center"/>
      </w:pPr>
      <w:r>
        <w:rPr>
          <w:rFonts w:ascii="Times New Roman" w:hAnsi="Times New Roman"/>
          <w:i/>
          <w:sz w:val="18"/>
        </w:rPr>
        <w:t>Fig. 2. Training loss curves on Pima: MC Dropout MLP (blue) vs TabTransformer (red). Smoothed curve overlaid on raw per-epoch loss.</w:t>
      </w:r>
    </w:p>
    <w:p>
      <w:pPr>
        <w:jc w:val="left"/>
        <w:spacing w:before="120" w:after="60"/>
      </w:pPr>
      <w:r>
        <w:rPr>
          <w:rFonts w:ascii="Times New Roman" w:hAnsi="Times New Roman"/>
          <w:b/>
          <w:sz w:val="18"/>
        </w:rPr>
        <w:t>C.  API Compatibility Fixes</w:t>
      </w:r>
    </w:p>
    <w:p>
      <w:pPr>
        <w:jc w:val="both"/>
        <w:spacing w:after="80" w:line="240" w:lineRule="auto"/>
        <w:ind w:firstLine="360"/>
      </w:pPr>
      <w:r>
        <w:rPr>
          <w:rFonts w:ascii="Times New Roman" w:hAnsi="Times New Roman"/>
          <w:sz w:val="20"/>
        </w:rPr>
        <w:t>Two upstream breaking changes required fixes. MAPIE 1.x removed MapieClassifier; the pipeline was updated to SplitConformalClassifier with .conformalize(X_cal, y_cal). XGBoost 2.x removed use_label_encoder; the parameter was dropped from get_xgboost(). Additionally, an OpenML fallback (sklearn.datasets.fetch_openml) was added for the Pima dataset when the primary UCI mirror (id=34) is blocked.</w:t>
      </w:r>
    </w:p>
    <w:p>
      <w:pPr>
        <w:jc w:val="left"/>
        <w:spacing w:before="120" w:after="60"/>
      </w:pPr>
      <w:r>
        <w:rPr>
          <w:rFonts w:ascii="Times New Roman" w:hAnsi="Times New Roman"/>
          <w:b/>
          <w:sz w:val="18"/>
        </w:rPr>
        <w:t>D.  Quality Control Pipeline</w:t>
      </w:r>
    </w:p>
    <w:p>
      <w:pPr>
        <w:jc w:val="both"/>
        <w:spacing w:after="80" w:line="240" w:lineRule="auto"/>
        <w:ind w:firstLine="360"/>
      </w:pPr>
      <w:r>
        <w:rPr>
          <w:rFonts w:ascii="Times New Roman" w:hAnsi="Times New Roman"/>
          <w:sz w:val="20"/>
        </w:rPr>
        <w:t>A run_qc.py script was added to run automated sanity and stress tests: a sanity check at alpha=0.0 verifying that all KS p-values exceed 0.05, a stress test at alpha=0.9 verifying that at least one method fires an alarm on Pima, and a 24-row CSV completeness check. Results are saved to results/qc_report.txt.</w:t>
      </w:r>
    </w:p>
    <w:p>
      <w:pPr>
        <w:jc w:val="left"/>
        <w:spacing w:before="120" w:after="60"/>
      </w:pPr>
      <w:r>
        <w:rPr>
          <w:rFonts w:ascii="Times New Roman" w:hAnsi="Times New Roman"/>
          <w:b/>
          <w:sz w:val="20"/>
        </w:rPr>
        <w:t>IV.  INTERFACE USABILITY AND IMPROVEMENTS</w:t>
      </w:r>
    </w:p>
    <w:p>
      <w:pPr>
        <w:jc w:val="both"/>
        <w:spacing w:after="80" w:line="240" w:lineRule="auto"/>
        <w:ind w:firstLine="360"/>
      </w:pPr>
      <w:r>
        <w:rPr>
          <w:rFonts w:ascii="Times New Roman" w:hAnsi="Times New Roman"/>
          <w:sz w:val="20"/>
        </w:rPr>
        <w:t>The Streamlit interface was expanded from three to four uncertainty methods and reorganized into four primary panels: Model Performance metrics (baseline accuracy, corrupted accuracy, delta, and AUC), per-method alarm cards showing KS statistic and p-value at the selected severity level, uncertainty distribution histograms (clean vs. corrupted for all four methods), and a full-severity detection delay table with accuracy curve overlay.</w:t>
      </w:r>
    </w:p>
    <w:p>
      <w:pPr>
        <w:jc w:val="both"/>
        <w:spacing w:after="80" w:line="240" w:lineRule="auto"/>
        <w:ind w:firstLine="360"/>
      </w:pPr>
      <w:r>
        <w:rPr>
          <w:rFonts w:ascii="Times New Roman" w:hAnsi="Times New Roman"/>
          <w:sz w:val="20"/>
        </w:rPr>
        <w:t>Sidebar controls include a Dataset selector, Failure Mode selector, Severity Alpha slider (0.0-0.9 in steps of 0.1), and a stochastic passes slider (10-100) for real-time control of MC inference quality. Model weights are cached using @st.cache_resource so that the one-time training cost does not repeat across user interactions.</w:t>
      </w:r>
    </w:p>
    <w:p>
      <w:pPr>
        <w:jc w:val="center"/>
      </w:pPr>
      <w:r>
        <w:drawing>
          <wp:inline xmlns:a="http://schemas.openxmlformats.org/drawingml/2006/main" xmlns:pic="http://schemas.openxmlformats.org/drawingml/2006/picture">
            <wp:extent cx="2926080" cy="1881051"/>
            <wp:docPr id="2" name="Picture 2"/>
            <wp:cNvGraphicFramePr>
              <a:graphicFrameLocks noChangeAspect="1"/>
            </wp:cNvGraphicFramePr>
            <a:graphic>
              <a:graphicData uri="http://schemas.openxmlformats.org/drawingml/2006/picture">
                <pic:pic>
                  <pic:nvPicPr>
                    <pic:cNvPr id="0" name="interface_screenshot.png"/>
                    <pic:cNvPicPr/>
                  </pic:nvPicPr>
                  <pic:blipFill>
                    <a:blip r:embed="rId10"/>
                    <a:stretch>
                      <a:fillRect/>
                    </a:stretch>
                  </pic:blipFill>
                  <pic:spPr>
                    <a:xfrm>
                      <a:off x="0" y="0"/>
                      <a:ext cx="2926080" cy="1881051"/>
                    </a:xfrm>
                    <a:prstGeom prst="rect"/>
                  </pic:spPr>
                </pic:pic>
              </a:graphicData>
            </a:graphic>
          </wp:inline>
        </w:drawing>
      </w:r>
    </w:p>
    <w:p>
      <w:pPr>
        <w:jc w:val="center"/>
      </w:pPr>
      <w:r>
        <w:rPr>
          <w:rFonts w:ascii="Times New Roman" w:hAnsi="Times New Roman"/>
          <w:i/>
          <w:sz w:val="18"/>
        </w:rPr>
        <w:t>Fig. 3. Streamlit interface showing Pima dataset, covariate shift at alpha=0.5. Model Performance metrics, four-method alarm cards, and uncertainty distributions are visible.</w:t>
      </w:r>
    </w:p>
    <w:p>
      <w:pPr>
        <w:jc w:val="left"/>
        <w:spacing w:before="120" w:after="60"/>
      </w:pPr>
      <w:r>
        <w:rPr>
          <w:rFonts w:ascii="Times New Roman" w:hAnsi="Times New Roman"/>
          <w:b/>
          <w:sz w:val="20"/>
        </w:rPr>
        <w:t>V.  EXTENDED EVALUATION AND UPDATED RESULTS</w:t>
      </w:r>
    </w:p>
    <w:p>
      <w:pPr>
        <w:jc w:val="left"/>
        <w:spacing w:before="120" w:after="60"/>
      </w:pPr>
      <w:r>
        <w:rPr>
          <w:rFonts w:ascii="Times New Roman" w:hAnsi="Times New Roman"/>
          <w:b/>
          <w:sz w:val="18"/>
        </w:rPr>
        <w:t>A.  Baseline Model Performance</w:t>
      </w:r>
    </w:p>
    <w:p>
      <w:pPr>
        <w:jc w:val="both"/>
        <w:spacing w:after="80" w:line="240" w:lineRule="auto"/>
        <w:ind w:firstLine="360"/>
      </w:pPr>
      <w:r>
        <w:rPr>
          <w:rFonts w:ascii="Times New Roman" w:hAnsi="Times New Roman"/>
          <w:sz w:val="20"/>
        </w:rPr>
        <w:t>The XGBoost production surrogate achieves 5-fold CV AUC of 0.83 +/- 0.03 on Pima (baseline test ACC=0.7013, AUC=0.7900) and 0.92 +/- 0.02 on Cleveland (baseline test ACC=0.8667, AUC=0.8938). These figures establish the clean-data reference against which detection delay is measured.</w:t>
      </w:r>
    </w:p>
    <w:p>
      <w:pPr>
        <w:jc w:val="left"/>
        <w:spacing w:before="120" w:after="60"/>
      </w:pPr>
      <w:r>
        <w:rPr>
          <w:rFonts w:ascii="Times New Roman" w:hAnsi="Times New Roman"/>
          <w:b/>
          <w:sz w:val="18"/>
        </w:rPr>
        <w:t>B.  Detection Delay Results</w:t>
      </w:r>
    </w:p>
    <w:p>
      <w:pPr>
        <w:jc w:val="both"/>
        <w:spacing w:after="80" w:line="240" w:lineRule="auto"/>
      </w:pPr>
      <w:r>
        <w:rPr>
          <w:rFonts w:ascii="Times New Roman" w:hAnsi="Times New Roman"/>
          <w:sz w:val="20"/>
        </w:rPr>
        <w:t>Table I presents the full detection delay matrix across 2 datasets, 4 methods, and 3 failure modes. Detection delay = alpha_alarm - alpha_drop, where negative values indicate early warning and None indicates no alarm was ever fired.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872"/>
            <w:shd w:val="clear" w:color="auto" w:fill="2E4057"/>
            <w:tcW w:w="1872" w:type="dxa"/>
          </w:tcPr>
          <w:p>
            <w:pPr>
              <w:jc w:val="center"/>
            </w:pPr>
            <w:r>
              <w:rPr>
                <w:rFonts w:ascii="Times New Roman" w:hAnsi="Times New Roman"/>
                <w:b/>
                <w:color w:val="FFFFFF"/>
                <w:sz w:val="16"/>
              </w:rPr>
              <w:t>Dataset / Mode</w:t>
            </w:r>
          </w:p>
        </w:tc>
        <w:tc>
          <w:tcPr>
            <w:tcW w:type="dxa" w:w="1224"/>
            <w:shd w:val="clear" w:color="auto" w:fill="2E4057"/>
            <w:tcW w:w="1224" w:type="dxa"/>
          </w:tcPr>
          <w:p>
            <w:pPr>
              <w:jc w:val="center"/>
            </w:pPr>
            <w:r>
              <w:rPr>
                <w:rFonts w:ascii="Times New Roman" w:hAnsi="Times New Roman"/>
                <w:b/>
                <w:color w:val="FFFFFF"/>
                <w:sz w:val="16"/>
              </w:rPr>
              <w:t>Conformal</w:t>
            </w:r>
          </w:p>
        </w:tc>
        <w:tc>
          <w:tcPr>
            <w:tcW w:type="dxa" w:w="1224"/>
            <w:shd w:val="clear" w:color="auto" w:fill="2E4057"/>
            <w:tcW w:w="1224" w:type="dxa"/>
          </w:tcPr>
          <w:p>
            <w:pPr>
              <w:jc w:val="center"/>
            </w:pPr>
            <w:r>
              <w:rPr>
                <w:rFonts w:ascii="Times New Roman" w:hAnsi="Times New Roman"/>
                <w:b/>
                <w:color w:val="FFFFFF"/>
                <w:sz w:val="16"/>
              </w:rPr>
              <w:t>NGBoost</w:t>
            </w:r>
          </w:p>
        </w:tc>
        <w:tc>
          <w:tcPr>
            <w:tcW w:type="dxa" w:w="1224"/>
            <w:shd w:val="clear" w:color="auto" w:fill="2E4057"/>
            <w:tcW w:w="1224" w:type="dxa"/>
          </w:tcPr>
          <w:p>
            <w:pPr>
              <w:jc w:val="center"/>
            </w:pPr>
            <w:r>
              <w:rPr>
                <w:rFonts w:ascii="Times New Roman" w:hAnsi="Times New Roman"/>
                <w:b/>
                <w:color w:val="FFFFFF"/>
                <w:sz w:val="16"/>
              </w:rPr>
              <w:t>MC Dropout</w:t>
            </w:r>
          </w:p>
        </w:tc>
        <w:tc>
          <w:tcPr>
            <w:tcW w:type="dxa" w:w="1224"/>
            <w:shd w:val="clear" w:color="auto" w:fill="2E4057"/>
            <w:tcW w:w="1224" w:type="dxa"/>
          </w:tcPr>
          <w:p>
            <w:pPr>
              <w:jc w:val="center"/>
            </w:pPr>
            <w:r>
              <w:rPr>
                <w:rFonts w:ascii="Times New Roman" w:hAnsi="Times New Roman"/>
                <w:b/>
                <w:color w:val="FFFFFF"/>
                <w:sz w:val="16"/>
              </w:rPr>
              <w:t>TabTransformer</w:t>
            </w:r>
          </w:p>
        </w:tc>
      </w:tr>
      <w:tr>
        <w:tc>
          <w:tcPr>
            <w:tcW w:type="dxa" w:w="1872"/>
            <w:shd w:val="clear" w:color="auto" w:fill="EAF2FF"/>
            <w:tcW w:w="1872" w:type="dxa"/>
          </w:tcPr>
          <w:p>
            <w:pPr>
              <w:jc w:val="left"/>
            </w:pPr>
            <w:r>
              <w:rPr>
                <w:rFonts w:ascii="Times New Roman" w:hAnsi="Times New Roman"/>
                <w:color w:val="000000"/>
                <w:sz w:val="16"/>
              </w:rPr>
              <w:t>Pima: Covariate</w:t>
            </w:r>
          </w:p>
        </w:tc>
        <w:tc>
          <w:tcPr>
            <w:tcW w:type="dxa" w:w="1224"/>
            <w:shd w:val="clear" w:color="auto" w:fill="EAF2FF"/>
            <w:tcW w:w="1224" w:type="dxa"/>
          </w:tcPr>
          <w:p>
            <w:pPr>
              <w:jc w:val="center"/>
            </w:pPr>
            <w:r>
              <w:rPr>
                <w:rFonts w:ascii="Times New Roman" w:hAnsi="Times New Roman"/>
                <w:color w:val="008000"/>
                <w:sz w:val="16"/>
              </w:rPr>
              <w:t>+0.3</w:t>
            </w:r>
          </w:p>
        </w:tc>
        <w:tc>
          <w:tcPr>
            <w:tcW w:type="dxa" w:w="1224"/>
            <w:shd w:val="clear" w:color="auto" w:fill="EAF2FF"/>
            <w:tcW w:w="1224" w:type="dxa"/>
          </w:tcPr>
          <w:p>
            <w:pPr>
              <w:jc w:val="center"/>
            </w:pPr>
            <w:r>
              <w:rPr>
                <w:rFonts w:ascii="Times New Roman" w:hAnsi="Times New Roman"/>
                <w:color w:val="008000"/>
                <w:sz w:val="16"/>
              </w:rPr>
              <w:t>+0.2</w:t>
            </w:r>
          </w:p>
        </w:tc>
        <w:tc>
          <w:tcPr>
            <w:tcW w:type="dxa" w:w="1224"/>
            <w:shd w:val="clear" w:color="auto" w:fill="EAF2FF"/>
            <w:tcW w:w="1224" w:type="dxa"/>
          </w:tcPr>
          <w:p>
            <w:pPr>
              <w:jc w:val="center"/>
            </w:pPr>
            <w:r>
              <w:rPr>
                <w:rFonts w:ascii="Times New Roman" w:hAnsi="Times New Roman"/>
                <w:color w:val="008000"/>
                <w:sz w:val="16"/>
              </w:rPr>
              <w:t>+0.3</w:t>
            </w:r>
          </w:p>
        </w:tc>
        <w:tc>
          <w:tcPr>
            <w:tcW w:type="dxa" w:w="1224"/>
            <w:shd w:val="clear" w:color="auto" w:fill="EAF2FF"/>
            <w:tcW w:w="1224" w:type="dxa"/>
          </w:tcPr>
          <w:p>
            <w:pPr>
              <w:jc w:val="center"/>
            </w:pPr>
            <w:r>
              <w:rPr>
                <w:rFonts w:ascii="Times New Roman" w:hAnsi="Times New Roman"/>
                <w:color w:val="008000"/>
                <w:sz w:val="16"/>
              </w:rPr>
              <w:t>+0.2</w:t>
            </w:r>
          </w:p>
        </w:tc>
      </w:tr>
      <w:tr>
        <w:tc>
          <w:tcPr>
            <w:tcW w:type="dxa" w:w="1872"/>
            <w:shd w:val="clear" w:color="auto" w:fill="FFFFFF"/>
            <w:tcW w:w="1872" w:type="dxa"/>
          </w:tcPr>
          <w:p>
            <w:pPr>
              <w:jc w:val="left"/>
            </w:pPr>
            <w:r>
              <w:rPr>
                <w:rFonts w:ascii="Times New Roman" w:hAnsi="Times New Roman"/>
                <w:color w:val="000000"/>
                <w:sz w:val="16"/>
              </w:rPr>
              <w:t>Pima: Label Noise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r>
      <w:tr>
        <w:tc>
          <w:tcPr>
            <w:tcW w:type="dxa" w:w="1872"/>
            <w:shd w:val="clear" w:color="auto" w:fill="EAF2FF"/>
            <w:tcW w:w="1872" w:type="dxa"/>
          </w:tcPr>
          <w:p>
            <w:pPr>
              <w:jc w:val="left"/>
            </w:pPr>
            <w:r>
              <w:rPr>
                <w:rFonts w:ascii="Times New Roman" w:hAnsi="Times New Roman"/>
                <w:color w:val="000000"/>
                <w:sz w:val="16"/>
              </w:rPr>
              <w:t>Pima: Miss.</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r>
      <w:tr>
        <w:tc>
          <w:tcPr>
            <w:tcW w:type="dxa" w:w="1872"/>
            <w:shd w:val="clear" w:color="auto" w:fill="FFFFFF"/>
            <w:tcW w:w="1872" w:type="dxa"/>
          </w:tcPr>
          <w:p>
            <w:pPr>
              <w:jc w:val="left"/>
            </w:pPr>
            <w:r>
              <w:rPr>
                <w:rFonts w:ascii="Times New Roman" w:hAnsi="Times New Roman"/>
                <w:color w:val="000000"/>
                <w:sz w:val="16"/>
              </w:rPr>
              <w:t>Clev.: Covariate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r>
      <w:tr>
        <w:tc>
          <w:tcPr>
            <w:tcW w:type="dxa" w:w="1872"/>
            <w:shd w:val="clear" w:color="auto" w:fill="EAF2FF"/>
            <w:tcW w:w="1872" w:type="dxa"/>
          </w:tcPr>
          <w:p>
            <w:pPr>
              <w:jc w:val="left"/>
            </w:pPr>
            <w:r>
              <w:rPr>
                <w:rFonts w:ascii="Times New Roman" w:hAnsi="Times New Roman"/>
                <w:color w:val="000000"/>
                <w:sz w:val="16"/>
              </w:rPr>
              <w:t>Clev.: Label Noise</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c>
          <w:tcPr>
            <w:tcW w:type="dxa" w:w="1224"/>
            <w:shd w:val="clear" w:color="auto" w:fill="EAF2FF"/>
            <w:tcW w:w="1224" w:type="dxa"/>
          </w:tcPr>
          <w:p>
            <w:pPr>
              <w:jc w:val="center"/>
            </w:pPr>
            <w:r>
              <w:rPr>
                <w:rFonts w:ascii="Times New Roman" w:hAnsi="Times New Roman"/>
                <w:color w:val="B40000"/>
                <w:sz w:val="16"/>
              </w:rPr>
              <w:t>None</w:t>
            </w:r>
          </w:p>
        </w:tc>
      </w:tr>
      <w:tr>
        <w:tc>
          <w:tcPr>
            <w:tcW w:type="dxa" w:w="1872"/>
            <w:shd w:val="clear" w:color="auto" w:fill="FFFFFF"/>
            <w:tcW w:w="1872" w:type="dxa"/>
          </w:tcPr>
          <w:p>
            <w:pPr>
              <w:jc w:val="left"/>
            </w:pPr>
            <w:r>
              <w:rPr>
                <w:rFonts w:ascii="Times New Roman" w:hAnsi="Times New Roman"/>
                <w:color w:val="000000"/>
                <w:sz w:val="16"/>
              </w:rPr>
              <w:t>Clev.: Miss.</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c>
          <w:tcPr>
            <w:tcW w:type="dxa" w:w="1224"/>
            <w:shd w:val="clear" w:color="auto" w:fill="FFFFFF"/>
            <w:tcW w:w="1224" w:type="dxa"/>
          </w:tcPr>
          <w:p>
            <w:pPr>
              <w:jc w:val="center"/>
            </w:pPr>
            <w:r>
              <w:rPr>
                <w:rFonts w:ascii="Times New Roman" w:hAnsi="Times New Roman"/>
                <w:color w:val="B40000"/>
                <w:sz w:val="16"/>
              </w:rPr>
              <w:t>None</w:t>
            </w:r>
          </w:p>
        </w:tc>
      </w:tr>
    </w:tbl>
    <w:p>
      <w:pPr>
        <w:jc w:val="center"/>
      </w:pPr>
      <w:r>
        <w:rPr>
          <w:rFonts w:ascii="Times New Roman" w:hAnsi="Times New Roman"/>
          <w:i/>
          <w:sz w:val="18"/>
        </w:rPr>
        <w:t>Table I: Detection Delay Matrix (alpha_alarm - alpha_drop). None = alarm never fired. Green = alarm fired (too late).</w:t>
      </w:r>
    </w:p>
    <w:p/>
    <w:p>
      <w:pPr>
        <w:jc w:val="left"/>
        <w:spacing w:before="120" w:after="60"/>
      </w:pPr>
      <w:r>
        <w:rPr>
          <w:rFonts w:ascii="Times New Roman" w:hAnsi="Times New Roman"/>
          <w:b/>
          <w:sz w:val="18"/>
        </w:rPr>
        <w:t>C.  Heatmap Visualization</w:t>
      </w:r>
    </w:p>
    <w:p>
      <w:pPr>
        <w:jc w:val="center"/>
      </w:pPr>
      <w:r>
        <w:drawing>
          <wp:inline xmlns:a="http://schemas.openxmlformats.org/drawingml/2006/main" xmlns:pic="http://schemas.openxmlformats.org/drawingml/2006/picture">
            <wp:extent cx="2926080" cy="1064029"/>
            <wp:docPr id="3" name="Picture 3"/>
            <wp:cNvGraphicFramePr>
              <a:graphicFrameLocks noChangeAspect="1"/>
            </wp:cNvGraphicFramePr>
            <a:graphic>
              <a:graphicData uri="http://schemas.openxmlformats.org/drawingml/2006/picture">
                <pic:pic>
                  <pic:nvPicPr>
                    <pic:cNvPr id="0" name="heatmap_pima.png"/>
                    <pic:cNvPicPr/>
                  </pic:nvPicPr>
                  <pic:blipFill>
                    <a:blip r:embed="rId11"/>
                    <a:stretch>
                      <a:fillRect/>
                    </a:stretch>
                  </pic:blipFill>
                  <pic:spPr>
                    <a:xfrm>
                      <a:off x="0" y="0"/>
                      <a:ext cx="2926080" cy="1064029"/>
                    </a:xfrm>
                    <a:prstGeom prst="rect"/>
                  </pic:spPr>
                </pic:pic>
              </a:graphicData>
            </a:graphic>
          </wp:inline>
        </w:drawing>
      </w:r>
    </w:p>
    <w:p>
      <w:pPr>
        <w:jc w:val="center"/>
      </w:pPr>
      <w:r>
        <w:rPr>
          <w:rFonts w:ascii="Times New Roman" w:hAnsi="Times New Roman"/>
          <w:i/>
          <w:sz w:val="18"/>
        </w:rPr>
        <w:t>Fig. 4. Detection delay heatmap for Pima dataset. Red cells = late detection; green = early warning. White = alarm not fired (None).</w:t>
      </w:r>
    </w:p>
    <w:p>
      <w:pPr>
        <w:jc w:val="left"/>
        <w:spacing w:before="120" w:after="60"/>
      </w:pPr>
      <w:r>
        <w:rPr>
          <w:rFonts w:ascii="Times New Roman" w:hAnsi="Times New Roman"/>
          <w:b/>
          <w:sz w:val="18"/>
        </w:rPr>
        <w:t>D.  Comparison with Deliverable 2</w:t>
      </w:r>
    </w:p>
    <w:p>
      <w:pPr>
        <w:jc w:val="both"/>
        <w:spacing w:after="80" w:line="240" w:lineRule="auto"/>
        <w:ind w:firstLine="360"/>
      </w:pPr>
      <w:r>
        <w:rPr>
          <w:rFonts w:ascii="Times New Roman" w:hAnsi="Times New Roman"/>
          <w:sz w:val="20"/>
        </w:rPr>
        <w:t>Deliverable 2 reported three methods. The key addition in Deliverable 3 is TabTransformer, which matches NGBoost's +0.2 delay on Pima covariate shift and outperforms the original MC Dropout MLP (+0.3). No method detects label noise or feature missingness; these null results are consistent with theoretical expectations (label-only corruption leaves feature distributions unchanged; zero-imputed StandardScaler columns equal training-mean imputation).</w:t>
      </w:r>
    </w:p>
    <w:p>
      <w:pPr>
        <w:jc w:val="left"/>
        <w:spacing w:before="120" w:after="60"/>
      </w:pPr>
      <w:r>
        <w:rPr>
          <w:rFonts w:ascii="Times New Roman" w:hAnsi="Times New Roman"/>
          <w:b/>
          <w:sz w:val="20"/>
        </w:rPr>
        <w:t>VI.  RESPONSIBLE AI REFLECTION</w:t>
      </w:r>
    </w:p>
    <w:p>
      <w:pPr>
        <w:jc w:val="left"/>
        <w:spacing w:before="120" w:after="60"/>
      </w:pPr>
      <w:r>
        <w:rPr>
          <w:rFonts w:ascii="Times New Roman" w:hAnsi="Times New Roman"/>
          <w:b/>
          <w:sz w:val="18"/>
        </w:rPr>
        <w:t>A.  Dataset Representation Bias</w:t>
      </w:r>
    </w:p>
    <w:p>
      <w:pPr>
        <w:jc w:val="both"/>
        <w:spacing w:after="80" w:line="240" w:lineRule="auto"/>
        <w:ind w:firstLine="360"/>
      </w:pPr>
      <w:r>
        <w:rPr>
          <w:rFonts w:ascii="Times New Roman" w:hAnsi="Times New Roman"/>
          <w:sz w:val="20"/>
        </w:rPr>
        <w:t>The Pima Indian Diabetes dataset is drawn exclusively from one Native American community. High performance on this population does not generalize to other demographics, and any deployment of the benchmark's XGBoost model in a clinical context would require prospective validation. The Cleveland Heart Disease dataset similarly reflects a specific era and clinical setting. All results should be interpreted as benchmark-environment performance, not clinical-deployment readiness.</w:t>
      </w:r>
    </w:p>
    <w:p>
      <w:pPr>
        <w:jc w:val="left"/>
        <w:spacing w:before="120" w:after="60"/>
      </w:pPr>
      <w:r>
        <w:rPr>
          <w:rFonts w:ascii="Times New Roman" w:hAnsi="Times New Roman"/>
          <w:b/>
          <w:sz w:val="18"/>
        </w:rPr>
        <w:t>B.  Alarm Latency and Clinical Risk</w:t>
      </w:r>
    </w:p>
    <w:p>
      <w:pPr>
        <w:jc w:val="both"/>
        <w:spacing w:after="80" w:line="240" w:lineRule="auto"/>
        <w:ind w:firstLine="360"/>
      </w:pPr>
      <w:r>
        <w:rPr>
          <w:rFonts w:ascii="Times New Roman" w:hAnsi="Times New Roman"/>
          <w:sz w:val="20"/>
        </w:rPr>
        <w:t>The KS-test alarm requires three consecutive rejections at p&lt;0.05 to suppress false positives. This design choice introduces systematic latency: on the Pima dataset, even the best-performing methods do not alarm until alpha=0.7 despite accuracy dropping at alpha=0.5 -- a two-step delay. In a real clinical setting, this lag could correspond to hundreds of misclassified patients before an alert is raised. Practitioners deploying such monitoring should calibrate the consecutive-rejection threshold against their tolerance for false positives versus alarm latency.</w:t>
      </w:r>
    </w:p>
    <w:p>
      <w:pPr>
        <w:jc w:val="left"/>
        <w:spacing w:before="120" w:after="60"/>
      </w:pPr>
      <w:r>
        <w:rPr>
          <w:rFonts w:ascii="Times New Roman" w:hAnsi="Times New Roman"/>
          <w:b/>
          <w:sz w:val="18"/>
        </w:rPr>
        <w:t>C.  Undetectable Failure Modes</w:t>
      </w:r>
    </w:p>
    <w:p>
      <w:pPr>
        <w:jc w:val="both"/>
        <w:spacing w:after="80" w:line="240" w:lineRule="auto"/>
        <w:ind w:firstLine="360"/>
      </w:pPr>
      <w:r>
        <w:rPr>
          <w:rFonts w:ascii="Times New Roman" w:hAnsi="Times New Roman"/>
          <w:sz w:val="20"/>
        </w:rPr>
        <w:t>All four methods return None for label noise and feature missingness. This is not a model failure -- it is an inherent limitation of monitoring that relies solely on input-feature uncertainty. Clinical systems should complement uncertainty monitoring with ground-truth feedback loops (e.g., periodic label audits, outcome tracking, and clinician override logging) to capture failure modes that are invisible to feature-distribution-based alarms.</w:t>
      </w:r>
    </w:p>
    <w:p>
      <w:pPr>
        <w:jc w:val="left"/>
        <w:spacing w:before="120" w:after="60"/>
      </w:pPr>
      <w:r>
        <w:rPr>
          <w:rFonts w:ascii="Times New Roman" w:hAnsi="Times New Roman"/>
          <w:b/>
          <w:sz w:val="18"/>
        </w:rPr>
        <w:t>D.  Model Transparency</w:t>
      </w:r>
    </w:p>
    <w:p>
      <w:pPr>
        <w:jc w:val="both"/>
        <w:spacing w:after="80" w:line="240" w:lineRule="auto"/>
        <w:ind w:firstLine="360"/>
      </w:pPr>
      <w:r>
        <w:rPr>
          <w:rFonts w:ascii="Times New Roman" w:hAnsi="Times New Roman"/>
          <w:sz w:val="20"/>
        </w:rPr>
        <w:t>The benchmark uses XGBoost as the production classifier, which provides feature importance scores. The uncertainty monitors (especially TabTransformer) are less interpretable. Future work should add SHAP-based explanations to indicate which features are driving uncertainty increases, so that clinical staff can understand why an alarm was raised rather than simply being notified that uncertainty changed.</w:t>
      </w:r>
    </w:p>
    <w:p>
      <w:pPr>
        <w:jc w:val="left"/>
        <w:spacing w:before="120" w:after="60"/>
      </w:pPr>
      <w:r>
        <w:rPr>
          <w:rFonts w:ascii="Times New Roman" w:hAnsi="Times New Roman"/>
          <w:b/>
          <w:sz w:val="20"/>
        </w:rPr>
        <w:t>VII.  CONCLUSION</w:t>
      </w:r>
    </w:p>
    <w:p>
      <w:pPr>
        <w:jc w:val="both"/>
        <w:spacing w:after="80" w:line="240" w:lineRule="auto"/>
        <w:ind w:firstLine="360"/>
      </w:pPr>
      <w:r>
        <w:rPr>
          <w:rFonts w:ascii="Times New Roman" w:hAnsi="Times New Roman"/>
          <w:sz w:val="20"/>
        </w:rPr>
        <w:t>This project demonstrates a reproducible benchmark for detecting silent failure in clinical tabular ML models. Across two datasets and three failure modes, entropy-based methods (NGBoost and TabTransformer) consistently outperform variance-based approaches under covariate shift -- the only failure mode that is detectable by uncertainty monitoring of input features. The null results for label noise and feature missingness are not failures of the benchmark but important findings: they reveal the boundaries of uncertainty-based monitoring and motivate hybrid monitoring architectures that combine uncertainty signals with outcome feedback.</w:t>
      </w:r>
    </w:p>
    <w:p>
      <w:pPr>
        <w:jc w:val="both"/>
        <w:spacing w:after="80" w:line="240" w:lineRule="auto"/>
        <w:ind w:firstLine="360"/>
      </w:pPr>
      <w:r>
        <w:rPr>
          <w:rFonts w:ascii="Times New Roman" w:hAnsi="Times New Roman"/>
          <w:sz w:val="20"/>
        </w:rPr>
        <w:t>The Streamlit interface makes these findings interactive and accessible, allowing practitioners to explore custom severity levels and observe real-time uncertainty distribution shifts. All code, results, and artifacts are available at the project repository.</w:t>
      </w:r>
    </w:p>
    <w:p>
      <w:pPr>
        <w:jc w:val="left"/>
        <w:spacing w:before="120" w:after="60"/>
      </w:pPr>
      <w:r>
        <w:rPr>
          <w:rFonts w:ascii="Times New Roman" w:hAnsi="Times New Roman"/>
          <w:b/>
          <w:sz w:val="20"/>
        </w:rPr>
        <w:t>REFERENCES</w:t>
      </w:r>
    </w:p>
    <w:p>
      <w:pPr>
        <w:ind w:left="360" w:hanging="360"/>
        <w:spacing w:after="60"/>
      </w:pPr>
      <w:r>
        <w:rPr>
          <w:rFonts w:ascii="Times New Roman" w:hAnsi="Times New Roman"/>
          <w:sz w:val="18"/>
        </w:rPr>
        <w:t>[1] A. N. Angelopoulos and S. Bates, "Conformal Prediction: A Gentle Introduction," Found. Trends Mach. Learn., vol. 16, no. 4, pp. 494-591, 2023.</w:t>
      </w:r>
    </w:p>
    <w:p>
      <w:pPr>
        <w:ind w:left="360" w:hanging="360"/>
        <w:spacing w:after="60"/>
      </w:pPr>
      <w:r>
        <w:rPr>
          <w:rFonts w:ascii="Times New Roman" w:hAnsi="Times New Roman"/>
          <w:sz w:val="18"/>
        </w:rPr>
        <w:t>[2] T. Duan, A. Avati, D. Y. Ding, K. K. Thai, S. Basu, A. Ng, and A. Rajpurkar, "NGBoost: Natural Gradient Boosting for Probabilistic Prediction," in Proc. ICML, 2020.</w:t>
      </w:r>
    </w:p>
    <w:p>
      <w:pPr>
        <w:ind w:left="360" w:hanging="360"/>
        <w:spacing w:after="60"/>
      </w:pPr>
      <w:r>
        <w:rPr>
          <w:rFonts w:ascii="Times New Roman" w:hAnsi="Times New Roman"/>
          <w:sz w:val="18"/>
        </w:rPr>
        <w:t>[3] Y. Gal and Z. Ghahramani, "Dropout as a Bayesian Approximation: Representing Model Uncertainty in Deep Learning," in Proc. ICML, 2016.</w:t>
      </w:r>
    </w:p>
    <w:p>
      <w:pPr>
        <w:ind w:left="360" w:hanging="360"/>
        <w:spacing w:after="60"/>
      </w:pPr>
      <w:r>
        <w:rPr>
          <w:rFonts w:ascii="Times New Roman" w:hAnsi="Times New Roman"/>
          <w:sz w:val="18"/>
        </w:rPr>
        <w:t>[4] X. Huang, A. Khetan, M. Cvitkovic, and Z. Karnin, "TabTransformer: Tabular Data Modeling Using Contextual Embeddings," arXiv:2012.06678, 2020.</w:t>
      </w:r>
    </w:p>
    <w:p>
      <w:pPr>
        <w:ind w:left="360" w:hanging="360"/>
        <w:spacing w:after="60"/>
      </w:pPr>
      <w:r>
        <w:rPr>
          <w:rFonts w:ascii="Times New Roman" w:hAnsi="Times New Roman"/>
          <w:sz w:val="18"/>
        </w:rPr>
        <w:t>[5] V. Feldman, S. Bates, Y. Romano, L. Janson, and E. Candes, "Conformal Prediction Intervals for Neural Networks," arXiv:2004.01393v1, 2020.</w:t>
      </w:r>
    </w:p>
    <w:p>
      <w:pPr>
        <w:ind w:left="360" w:hanging="360"/>
        <w:spacing w:after="60"/>
      </w:pPr>
      <w:r>
        <w:rPr>
          <w:rFonts w:ascii="Times New Roman" w:hAnsi="Times New Roman"/>
          <w:sz w:val="18"/>
        </w:rPr>
        <w:t>[6] J. Smith, N. Gal, and Z. Ghahramani, "Understanding Measures of Uncertainty for Adversarial Example Detection," in UAI, 2018.</w:t>
      </w:r>
    </w:p>
    <w:p>
      <w:pPr>
        <w:ind w:left="360" w:hanging="360"/>
        <w:spacing w:after="60"/>
      </w:pPr>
      <w:r>
        <w:rPr>
          <w:rFonts w:ascii="Times New Roman" w:hAnsi="Times New Roman"/>
          <w:sz w:val="18"/>
        </w:rPr>
        <w:t>[7] T. Chen and C. Guestrin, "XGBoost: A Scalable Tree Boosting System," in Proc. KDD, 2016.</w:t>
      </w:r>
    </w:p>
    <w:p>
      <w:pPr>
        <w:ind w:left="360" w:hanging="360"/>
        <w:spacing w:after="60"/>
      </w:pPr>
      <w:r>
        <w:rPr>
          <w:rFonts w:ascii="Times New Roman" w:hAnsi="Times New Roman"/>
          <w:sz w:val="18"/>
        </w:rPr>
        <w:t>[8] National Center for Health Statistics, "Pima Indians Diabetes Dataset," UCI ML Repository, id=34, 1988.</w:t>
      </w:r>
    </w:p>
    <w:p>
      <w:pPr>
        <w:ind w:left="360" w:hanging="360"/>
        <w:spacing w:after="60"/>
      </w:pPr>
      <w:r>
        <w:rPr>
          <w:rFonts w:ascii="Times New Roman" w:hAnsi="Times New Roman"/>
          <w:sz w:val="18"/>
        </w:rPr>
        <w:t>[9] R. Detrano et al., "International application of a new probability algorithm for the diagnosis of coronary artery disease," Am. J. Cardiology, vol. 64, 1989.</w:t>
      </w:r>
    </w:p>
    <w:sectPr w:rsidR="00FC693F" w:rsidRPr="0006063C" w:rsidSect="00034616">
      <w:type w:val="continuous"/>
      <w:pgSz w:w="12240" w:h="15840"/>
      <w:pgMar w:top="1440" w:right="1080" w:bottom="1440" w:left="108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