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EA" w:rsidRPr="00F47DEA" w:rsidRDefault="00F47DEA" w:rsidP="00F47DEA">
      <w:pPr>
        <w:spacing w:before="120"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F47DEA">
        <w:rPr>
          <w:rFonts w:ascii="Arial" w:hAnsi="Arial" w:cs="Arial"/>
          <w:b/>
          <w:sz w:val="30"/>
          <w:szCs w:val="30"/>
        </w:rPr>
        <w:t>Bodor Ádám: Állatkert</w:t>
      </w:r>
    </w:p>
    <w:p w:rsidR="00F47DEA" w:rsidRDefault="00F47DEA" w:rsidP="00F47DEA">
      <w:pPr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 novella cselekménye egy hétköznapi életkép kifordítása: családi kirándulás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állatkertben</w:t>
      </w:r>
      <w:proofErr w:type="gramEnd"/>
      <w:r w:rsidRPr="00F47DEA">
        <w:rPr>
          <w:rFonts w:ascii="Arial" w:hAnsi="Arial" w:cs="Arial"/>
          <w:sz w:val="20"/>
          <w:szCs w:val="20"/>
        </w:rPr>
        <w:t>. A szituáció tipikus szereplői − szülő és gyermekek – itt is megjelennek, csak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éppen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torz képletbe rendeződve. Mindkét „gyerek” elmúlt már ötven éves, s az állatkertbe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nem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apával látogatnak ki, hanem apát látogatják meg.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Az állatkerti séta elsőként önkéntelenül egyfajta idilli helyzet képzetét kelti az olvasóban,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miközben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az elbeszélés éppen ennek az idillnek a provokatív, helyenként abszurdba hajló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lerombolását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valósítja me</w:t>
      </w:r>
      <w:bookmarkStart w:id="0" w:name="_GoBack"/>
      <w:bookmarkEnd w:id="0"/>
      <w:r w:rsidRPr="00F47DEA">
        <w:rPr>
          <w:rFonts w:ascii="Arial" w:hAnsi="Arial" w:cs="Arial"/>
          <w:sz w:val="20"/>
          <w:szCs w:val="20"/>
        </w:rPr>
        <w:t>g.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Az elidegenedés leglátványosabb jelei a családtagok közötti viszonyrendszerben válnak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láthatóvá</w:t>
      </w:r>
      <w:proofErr w:type="gramEnd"/>
      <w:r w:rsidRPr="00F47DEA">
        <w:rPr>
          <w:rFonts w:ascii="Arial" w:hAnsi="Arial" w:cs="Arial"/>
          <w:sz w:val="20"/>
          <w:szCs w:val="20"/>
        </w:rPr>
        <w:t>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 két, közel azonos korú fivér minden tekintetben egymás ellentétének mutatkozik.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Egyikük Nyugat-Európában él, jól szituált (zakó, nyakkendő, „Ó, én majd fizetek.”), a másik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kelet-európai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és a lecsúszott ember benyomását kelti (vászonnadrág, tornaing). Előbbi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folyamatosan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kedélyeskedni próbál, míg utóbbi állandóan ideges.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semmire sem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akar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emlékezni ebből a világból, míg Vili állandóan azt hangsúlyozza, hogy nem felejtett el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semmit</w:t>
      </w:r>
      <w:proofErr w:type="gramEnd"/>
      <w:r w:rsidRPr="00F47DEA">
        <w:rPr>
          <w:rFonts w:ascii="Arial" w:hAnsi="Arial" w:cs="Arial"/>
          <w:sz w:val="20"/>
          <w:szCs w:val="20"/>
        </w:rPr>
        <w:t>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Felejtés és emlékezés két eltérő életstratégia kulcsszavaiként jelennek meg a novellában:</w:t>
      </w:r>
      <w:r w:rsidRPr="00F47DE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47DEA">
        <w:rPr>
          <w:rFonts w:ascii="Arial" w:hAnsi="Arial" w:cs="Arial"/>
          <w:sz w:val="20"/>
          <w:szCs w:val="20"/>
        </w:rPr>
        <w:t>a</w:t>
      </w:r>
      <w:proofErr w:type="gramEnd"/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felejtés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az azonosságtudat megtagadásaként értelmezhető, az emlékezés pedig a kelet-európai</w:t>
      </w:r>
      <w:r w:rsidRPr="00F47DEA">
        <w:rPr>
          <w:rFonts w:ascii="Arial" w:hAnsi="Arial" w:cs="Arial"/>
          <w:sz w:val="20"/>
          <w:szCs w:val="20"/>
        </w:rPr>
        <w:t xml:space="preserve"> </w:t>
      </w:r>
      <w:r w:rsidRPr="00F47DEA">
        <w:rPr>
          <w:rFonts w:ascii="Arial" w:hAnsi="Arial" w:cs="Arial"/>
          <w:sz w:val="20"/>
          <w:szCs w:val="20"/>
        </w:rPr>
        <w:t>mivoltot a személyiség kitörölhetetlen részének tekinti. Az előbbi igyekszik elhitetni magával,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hogy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leteheti származása terheit, a másik meghaladhatatlan meghatározottságot lát benne.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 xml:space="preserve">− Az idegenséget hangsúlyozza a harmadik szereplő kirekesztése a történésekből: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német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felesége egy szót sem ért a társalgásból, a testvérek tudatosan zárják ki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eseményekből</w:t>
      </w:r>
      <w:proofErr w:type="gramEnd"/>
      <w:r w:rsidRPr="00F47DEA">
        <w:rPr>
          <w:rFonts w:ascii="Arial" w:hAnsi="Arial" w:cs="Arial"/>
          <w:sz w:val="20"/>
          <w:szCs w:val="20"/>
        </w:rPr>
        <w:t>. Az ő számára valóban kellemes délutáni időtöltés marad az állatkerti látogatás,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s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ezt a groteszk félreértést az utolsó bekezdés poénjának fekete humora ki is emeli („Es </w:t>
      </w:r>
      <w:proofErr w:type="spellStart"/>
      <w:r w:rsidRPr="00F47DEA">
        <w:rPr>
          <w:rFonts w:ascii="Arial" w:hAnsi="Arial" w:cs="Arial"/>
          <w:sz w:val="20"/>
          <w:szCs w:val="20"/>
        </w:rPr>
        <w:t>war</w:t>
      </w:r>
      <w:proofErr w:type="spellEnd"/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F47DEA">
        <w:rPr>
          <w:rFonts w:ascii="Arial" w:hAnsi="Arial" w:cs="Arial"/>
          <w:sz w:val="20"/>
          <w:szCs w:val="20"/>
        </w:rPr>
        <w:t>ganz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nett”).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Az áttörhetetlen idegenség megjelenítésének csúcspontja az apával való „találkozás”.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apa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nem is érzékeli a fiúk érkezését, mindvégig hátat fordít nekik. A fiúk nem szólítják meg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az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apjukat, holott a Németországból hazalátogató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valószínűleg már régen nem látta.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Az apát gyakrabban látogató Vili, akit testvérénél láthatóan mélyebben érint apjuk állapota,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szintén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nem beszél hozzá, mert tudja, hogy valószínűleg nem ismerné meg.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 megszüntethetetlen idegenség jele a Vili által javasolt megszólítás: „apu” helyett „Kovács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úr</w:t>
      </w:r>
      <w:proofErr w:type="gramEnd"/>
      <w:r w:rsidRPr="00F47DEA">
        <w:rPr>
          <w:rFonts w:ascii="Arial" w:hAnsi="Arial" w:cs="Arial"/>
          <w:sz w:val="20"/>
          <w:szCs w:val="20"/>
        </w:rPr>
        <w:t>”, ami apai részről a családi kapcsolat teljes és végérvényes megtagadására utal. Az apa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nem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hallgat a családi viszonyra apelláló megszólításra, csak a személytelen, formálisan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udvarias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forma éri el a tudatát, ha egyáltalán eléri. Viselkedése ugyanis súlyosan sérült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pszichés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állapotra utal.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akkor pillantja meg az apját, amikor az oroszlán egy vonalba kerül vele.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öregembernek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hófehér, vállig érő haja van, ami az oroszlán sörényét idézi fel. Az apa mintha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már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ki is lépett volna az emberi világból, inkább látszik az öreg, beteg oroszlán rokonának,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mint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fiai apjának.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lastRenderedPageBreak/>
        <w:t>− A testvérek közötti idegenkedés később az ellenszenv nyílt megfogalmazásába csap át. Vili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először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 magyarul nem beszélő, mosolygó asszonynak fejezi ki utálatát, majd testvérének,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aki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ugyancsak mosolyogva biztosítja, hogy ő is utálja a feleségét.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 xml:space="preserve">− E lepusztult és reménytelen emberi kapcsolatok ismeretében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viselkedése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 xml:space="preserve">kifejezetten groteszknek hat, amennyiben folytonosan megpróbálja az állatkerti látogató, </w:t>
      </w:r>
      <w:proofErr w:type="gramStart"/>
      <w:r w:rsidRPr="00F47DEA">
        <w:rPr>
          <w:rFonts w:ascii="Arial" w:hAnsi="Arial" w:cs="Arial"/>
          <w:sz w:val="20"/>
          <w:szCs w:val="20"/>
        </w:rPr>
        <w:t>a</w:t>
      </w:r>
      <w:proofErr w:type="gramEnd"/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turista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szerepét alakítani. Kényszeresen ismételgeti a maga nevetségesen fennkölt fordulatait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az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állatkertben honoló nyugalomról, a Micimackót idéző ráhallástól sem mentes „kis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pagonyról</w:t>
      </w:r>
      <w:proofErr w:type="gramEnd"/>
      <w:r w:rsidRPr="00F47DEA">
        <w:rPr>
          <w:rFonts w:ascii="Arial" w:hAnsi="Arial" w:cs="Arial"/>
          <w:sz w:val="20"/>
          <w:szCs w:val="20"/>
        </w:rPr>
        <w:t>”, az ember és természet találkozásáról, miközben éppen a találkozás az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esemény</w:t>
      </w:r>
      <w:proofErr w:type="gramEnd"/>
      <w:r w:rsidRPr="00F47DEA">
        <w:rPr>
          <w:rFonts w:ascii="Arial" w:hAnsi="Arial" w:cs="Arial"/>
          <w:sz w:val="20"/>
          <w:szCs w:val="20"/>
        </w:rPr>
        <w:t>, amely elmarad. Kis híja, hogy az oroszlánnal együtt nem készít fotót saját apjáról is,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mint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az állatkert egyik egzotikus lakójáról.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Az elidegenedettség állapotát még lehangolóbba teszi, hogy ennek az állapotnak nincs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tragikuma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. A szereplők – közülük is leginkább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– kifejezetten infantilis módon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viselkednek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. Vili mosolyogva biztosítja utálatáról mit sem értő sógornőjét,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 xml:space="preserve"> az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oroszlán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megvásárlásán gondolkodik, felesége pedig semmit sem érzékel a helyzet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feszültségéből</w:t>
      </w:r>
      <w:proofErr w:type="gramEnd"/>
      <w:r w:rsidRPr="00F47DEA">
        <w:rPr>
          <w:rFonts w:ascii="Arial" w:hAnsi="Arial" w:cs="Arial"/>
          <w:sz w:val="20"/>
          <w:szCs w:val="20"/>
        </w:rPr>
        <w:t>, egyre csak mosolyog, végül mégis úgy érzi, hogy éppen neki kell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összefoglalnia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a délután eseményeit.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>− A narráció elidegenítő technikájának része a szenvtelen elbeszélői hang, amely tartózkodik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bármiféle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közvetlen minősítéstől vagy értékítélettől. Egyfajta tudatos nyelvi redukció, tudatos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monotónia</w:t>
      </w:r>
      <w:proofErr w:type="gramEnd"/>
      <w:r w:rsidRPr="00F47DEA">
        <w:rPr>
          <w:rFonts w:ascii="Arial" w:hAnsi="Arial" w:cs="Arial"/>
          <w:sz w:val="20"/>
          <w:szCs w:val="20"/>
        </w:rPr>
        <w:t xml:space="preserve"> érvényesül az elbeszélői szólamban, amely különösen a „mondta Kovács Vili”,</w:t>
      </w:r>
    </w:p>
    <w:p w:rsidR="00F47DEA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F47DEA">
        <w:rPr>
          <w:rFonts w:ascii="Arial" w:hAnsi="Arial" w:cs="Arial"/>
          <w:sz w:val="20"/>
          <w:szCs w:val="20"/>
        </w:rPr>
        <w:t xml:space="preserve">„mondta Kovács </w:t>
      </w:r>
      <w:proofErr w:type="spellStart"/>
      <w:r w:rsidRPr="00F47DEA">
        <w:rPr>
          <w:rFonts w:ascii="Arial" w:hAnsi="Arial" w:cs="Arial"/>
          <w:sz w:val="20"/>
          <w:szCs w:val="20"/>
        </w:rPr>
        <w:t>Wladimir</w:t>
      </w:r>
      <w:proofErr w:type="spellEnd"/>
      <w:r w:rsidRPr="00F47DEA">
        <w:rPr>
          <w:rFonts w:ascii="Arial" w:hAnsi="Arial" w:cs="Arial"/>
          <w:sz w:val="20"/>
          <w:szCs w:val="20"/>
        </w:rPr>
        <w:t>” típusú idéző mondatok gyakori ismétlődésében válik</w:t>
      </w:r>
    </w:p>
    <w:p w:rsidR="009B4A52" w:rsidRPr="00F47DEA" w:rsidRDefault="00F47DEA" w:rsidP="00F47DEA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47DEA">
        <w:rPr>
          <w:rFonts w:ascii="Arial" w:hAnsi="Arial" w:cs="Arial"/>
          <w:sz w:val="20"/>
          <w:szCs w:val="20"/>
        </w:rPr>
        <w:t>szemléletessé</w:t>
      </w:r>
      <w:proofErr w:type="gramEnd"/>
      <w:r w:rsidRPr="00F47DEA">
        <w:rPr>
          <w:rFonts w:ascii="Arial" w:hAnsi="Arial" w:cs="Arial"/>
          <w:sz w:val="20"/>
          <w:szCs w:val="20"/>
        </w:rPr>
        <w:t>.</w:t>
      </w:r>
    </w:p>
    <w:sectPr w:rsidR="009B4A52" w:rsidRPr="00F47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EA"/>
    <w:rsid w:val="008756C7"/>
    <w:rsid w:val="009B4A52"/>
    <w:rsid w:val="00C2580F"/>
    <w:rsid w:val="00F4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583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2017-12-25T19:24:00Z</dcterms:created>
  <dcterms:modified xsi:type="dcterms:W3CDTF">2017-12-25T19:27:00Z</dcterms:modified>
</cp:coreProperties>
</file>