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0F12CFEC" w14:textId="446727C0" w:rsidR="00216ED6" w:rsidRDefault="00216ED6" w:rsidP="00046530">
      <w:pPr>
        <w:spacing w:after="0"/>
      </w:pPr>
      <w:r>
        <w:t xml:space="preserve">háztanitó a Perczel családnál </w:t>
      </w:r>
      <w:r>
        <w:sym w:font="Wingdings" w:char="F0E0"/>
      </w:r>
      <w:r>
        <w:t xml:space="preserve"> beteljesületlen szerelem Perczel Etelkával</w:t>
      </w:r>
    </w:p>
    <w:p w14:paraId="46808A9C" w14:textId="77777777" w:rsidR="00216ED6" w:rsidRDefault="00216ED6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Csajághy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>1848-1849-ben országgyűlési képviselő, 1849-től a kegyelmi törvényszék közbírája</w:t>
      </w:r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Meternich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>: tétel ("Hazádnak rendületlenül / légy híve, oh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7313FE7A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  <w:r w:rsidR="00CB572C">
        <w:t>)</w:t>
      </w:r>
    </w:p>
    <w:p w14:paraId="57BE4254" w14:textId="77777777" w:rsidR="00CB572C" w:rsidRDefault="00CB572C" w:rsidP="00D41986">
      <w:pPr>
        <w:spacing w:after="0"/>
      </w:pP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462EB3B3" w14:textId="77777777" w:rsidR="00C10AFE" w:rsidRDefault="00C10AFE" w:rsidP="00C606AB">
      <w:pPr>
        <w:spacing w:after="0"/>
      </w:pPr>
    </w:p>
    <w:p w14:paraId="49972837" w14:textId="60D0D2AA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ősbűn,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4D5DEBF3" w:rsidR="006B39F3" w:rsidRDefault="001B0DFE" w:rsidP="00360492">
      <w:pPr>
        <w:tabs>
          <w:tab w:val="left" w:pos="426"/>
        </w:tabs>
        <w:spacing w:after="0"/>
      </w:pPr>
      <w:r>
        <w:t>Keletkezése feltehetőleg a 1850-1851</w:t>
      </w:r>
    </w:p>
    <w:p w14:paraId="38A44C8B" w14:textId="5BD56DD2" w:rsidR="001B0DFE" w:rsidRDefault="001B0DFE" w:rsidP="00360492">
      <w:pPr>
        <w:tabs>
          <w:tab w:val="left" w:pos="426"/>
        </w:tabs>
        <w:spacing w:after="0"/>
      </w:pPr>
      <w:r>
        <w:t>A szabadságharc bukása teljes összeomlást okozott a költő életében</w:t>
      </w:r>
    </w:p>
    <w:p w14:paraId="0EEA1113" w14:textId="69F9427A" w:rsidR="001B0DFE" w:rsidRDefault="00827EA8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82441" wp14:editId="2EB550C5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0" cy="180754"/>
                <wp:effectExtent l="76200" t="0" r="57150" b="48260"/>
                <wp:wrapNone/>
                <wp:docPr id="20806060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82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75pt;margin-top: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lFGPw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40B36D1" w14:textId="15B7AA3A" w:rsidR="001B0DFE" w:rsidRDefault="001B0DFE" w:rsidP="00360492">
      <w:pPr>
        <w:tabs>
          <w:tab w:val="left" w:pos="426"/>
        </w:tabs>
        <w:spacing w:after="0"/>
      </w:pPr>
      <w:r>
        <w:t>(bujdosott, beteg volt, félt a megtorlástól)</w:t>
      </w:r>
    </w:p>
    <w:p w14:paraId="5CC03214" w14:textId="77777777" w:rsidR="00067D3A" w:rsidRDefault="00067D3A" w:rsidP="00360492">
      <w:pPr>
        <w:tabs>
          <w:tab w:val="left" w:pos="426"/>
        </w:tabs>
        <w:spacing w:after="0"/>
      </w:pPr>
    </w:p>
    <w:p w14:paraId="5388CA10" w14:textId="4084F775" w:rsidR="00067D3A" w:rsidRDefault="00827EA8" w:rsidP="00360492">
      <w:pPr>
        <w:tabs>
          <w:tab w:val="left" w:pos="426"/>
        </w:tabs>
        <w:spacing w:after="0"/>
      </w:pPr>
      <w:r>
        <w:t>Címe</w:t>
      </w:r>
      <w:r w:rsidR="00067D3A">
        <w:t xml:space="preserve"> nem egy versre </w:t>
      </w:r>
      <w:r w:rsidR="0026425B">
        <w:t>utal,</w:t>
      </w:r>
      <w:r w:rsidR="00067D3A">
        <w:t xml:space="preserve"> hanem egy </w:t>
      </w:r>
      <w:r w:rsidR="0026425B">
        <w:t>kötetre,</w:t>
      </w:r>
      <w:r w:rsidR="00067D3A">
        <w:t xml:space="preserve"> amit végül nem adtak ki, ennek lett volna az 1. része</w:t>
      </w:r>
    </w:p>
    <w:p w14:paraId="59142CB9" w14:textId="77777777" w:rsidR="00D07495" w:rsidRDefault="00D07495" w:rsidP="00360492">
      <w:pPr>
        <w:tabs>
          <w:tab w:val="left" w:pos="426"/>
        </w:tabs>
        <w:spacing w:after="0"/>
      </w:pPr>
    </w:p>
    <w:p w14:paraId="2791B54D" w14:textId="6A89C2B2" w:rsidR="00D07495" w:rsidRDefault="00D07495" w:rsidP="00360492">
      <w:pPr>
        <w:tabs>
          <w:tab w:val="left" w:pos="426"/>
        </w:tabs>
        <w:spacing w:after="0"/>
      </w:pPr>
      <w:r>
        <w:t>Kozmikus évet mutat be:</w:t>
      </w:r>
    </w:p>
    <w:p w14:paraId="7066D3A7" w14:textId="1905CB5E" w:rsidR="00D07495" w:rsidRDefault="00D07495" w:rsidP="00360492">
      <w:pPr>
        <w:tabs>
          <w:tab w:val="left" w:pos="426"/>
        </w:tabs>
        <w:spacing w:after="0"/>
      </w:pPr>
      <w:r>
        <w:tab/>
        <w:t>Tavasz, Nyár</w:t>
      </w:r>
    </w:p>
    <w:p w14:paraId="52D2E93F" w14:textId="7BB11A6D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Itt jelenik meg a reformkor termékeny korszaka</w:t>
      </w:r>
    </w:p>
    <w:p w14:paraId="10E51580" w14:textId="5A74E694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Várakozással teli</w:t>
      </w:r>
    </w:p>
    <w:p w14:paraId="1AFC24C3" w14:textId="77777777" w:rsidR="00D07495" w:rsidRDefault="00D07495" w:rsidP="00360492">
      <w:pPr>
        <w:tabs>
          <w:tab w:val="left" w:pos="426"/>
        </w:tabs>
        <w:spacing w:after="0"/>
      </w:pPr>
    </w:p>
    <w:p w14:paraId="683DAEB0" w14:textId="05DFCE09" w:rsidR="00D07495" w:rsidRDefault="00D07495" w:rsidP="00360492">
      <w:pPr>
        <w:tabs>
          <w:tab w:val="left" w:pos="426"/>
        </w:tabs>
        <w:spacing w:after="0"/>
      </w:pPr>
      <w:r>
        <w:tab/>
        <w:t>Ősz:</w:t>
      </w:r>
    </w:p>
    <w:p w14:paraId="0C39E953" w14:textId="0887AE4C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Kozmikus tragédiát </w:t>
      </w:r>
      <w:r w:rsidR="00622EF6">
        <w:t>leíró</w:t>
      </w:r>
      <w:r>
        <w:t xml:space="preserve"> apokaliptikus látomás</w:t>
      </w:r>
    </w:p>
    <w:p w14:paraId="12D809AB" w14:textId="1DD10D98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Görög </w:t>
      </w:r>
      <w:r w:rsidR="00622EF6">
        <w:t>mitológiából</w:t>
      </w:r>
      <w:r>
        <w:t xml:space="preserve"> felidézi a Gigászok harcát</w:t>
      </w:r>
    </w:p>
    <w:p w14:paraId="6764D2E8" w14:textId="0D25EF6D" w:rsidR="00326F64" w:rsidRDefault="00326F64" w:rsidP="00360492">
      <w:pPr>
        <w:tabs>
          <w:tab w:val="left" w:pos="426"/>
        </w:tabs>
        <w:spacing w:after="0"/>
      </w:pPr>
      <w:r>
        <w:tab/>
      </w:r>
      <w:r>
        <w:tab/>
        <w:t xml:space="preserve">tragédiák: </w:t>
      </w:r>
      <w:r w:rsidR="00D24AC8">
        <w:t>veszteségek, halál, megtorlás</w:t>
      </w:r>
    </w:p>
    <w:p w14:paraId="2F762FFE" w14:textId="77777777" w:rsidR="00F124DF" w:rsidRDefault="00F124DF" w:rsidP="00360492">
      <w:pPr>
        <w:tabs>
          <w:tab w:val="left" w:pos="426"/>
        </w:tabs>
        <w:spacing w:after="0"/>
      </w:pPr>
    </w:p>
    <w:p w14:paraId="7E21A8E4" w14:textId="26E61B16" w:rsidR="00F124DF" w:rsidRDefault="00F124DF" w:rsidP="00533645">
      <w:pPr>
        <w:tabs>
          <w:tab w:val="left" w:pos="426"/>
        </w:tabs>
        <w:spacing w:after="0"/>
      </w:pPr>
      <w:r>
        <w:tab/>
        <w:t xml:space="preserve">Tél: </w:t>
      </w:r>
    </w:p>
    <w:p w14:paraId="65F48EA1" w14:textId="2C8B564A" w:rsidR="00533645" w:rsidRDefault="00533645" w:rsidP="00533645">
      <w:pPr>
        <w:tabs>
          <w:tab w:val="left" w:pos="426"/>
        </w:tabs>
        <w:spacing w:after="0"/>
      </w:pPr>
      <w:r>
        <w:tab/>
      </w:r>
      <w:r>
        <w:tab/>
        <w:t>Itt következik be a jelen</w:t>
      </w:r>
    </w:p>
    <w:p w14:paraId="01DDE6B4" w14:textId="409B686B" w:rsidR="00533645" w:rsidRDefault="00217FB6" w:rsidP="00533645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4DA52" wp14:editId="0F86B0EA">
                <wp:simplePos x="0" y="0"/>
                <wp:positionH relativeFrom="column">
                  <wp:posOffset>1438275</wp:posOffset>
                </wp:positionH>
                <wp:positionV relativeFrom="paragraph">
                  <wp:posOffset>187325</wp:posOffset>
                </wp:positionV>
                <wp:extent cx="0" cy="180340"/>
                <wp:effectExtent l="76200" t="0" r="57150" b="48260"/>
                <wp:wrapNone/>
                <wp:docPr id="8675057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C1A" id="Egyenes összekötő nyíllal 1" o:spid="_x0000_s1026" type="#_x0000_t32" style="position:absolute;margin-left:113.25pt;margin-top:14.75pt;width:0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dDiIPcAAAACQEAAA8AAABkcnMvZG93bnJldi54&#10;bWxMj8tOwzAQRfdI/IM1SOyo00h9JMSpEIJlhWgqxNKNJ3HUeBzFThv+nkEsYDWvq3vPFLvZ9eKC&#10;Y+g8KVguEhBItTcdtQqO1evDFkSImozuPaGCLwywK29vCp0bf6V3vBxiK9iEQq4V2BiHXMpQW3Q6&#10;LPyAxLfGj05HHsdWmlFf2dz1Mk2StXS6I06wesBni/X5MDkFTdUe68+XrZz65m1TfdjM7qu9Uvd3&#10;89MjiIhz/BPDDz6jQ8lMJz+RCaJXkKbrFUu5ybiy4HdxUrDaZCDLQv7/oPw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N0OIg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645">
        <w:tab/>
      </w:r>
      <w:r w:rsidR="00533645">
        <w:tab/>
      </w:r>
      <w:r w:rsidR="006370F7">
        <w:t>Ebből a részből jövünk rá, hogy az emberi természet szörnyű</w:t>
      </w:r>
    </w:p>
    <w:p w14:paraId="65613EA8" w14:textId="44B78FA3" w:rsidR="00905B23" w:rsidRDefault="00905B23" w:rsidP="00533645">
      <w:pPr>
        <w:tabs>
          <w:tab w:val="left" w:pos="426"/>
        </w:tabs>
        <w:spacing w:after="0"/>
      </w:pPr>
    </w:p>
    <w:p w14:paraId="477D0515" w14:textId="42F84A01" w:rsidR="00905B23" w:rsidRDefault="00905B23" w:rsidP="00533645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 w:rsidR="00050181">
        <w:t>rendkívül</w:t>
      </w:r>
      <w:r>
        <w:t xml:space="preserve"> pesszimista</w:t>
      </w:r>
    </w:p>
    <w:p w14:paraId="2D5485C4" w14:textId="77777777" w:rsidR="00731F17" w:rsidRDefault="00731F17" w:rsidP="00533645">
      <w:pPr>
        <w:tabs>
          <w:tab w:val="left" w:pos="426"/>
        </w:tabs>
        <w:spacing w:after="0"/>
      </w:pPr>
    </w:p>
    <w:p w14:paraId="71A2F0A1" w14:textId="7459ADDE" w:rsidR="00731F17" w:rsidRDefault="00731F17" w:rsidP="00533645">
      <w:pPr>
        <w:tabs>
          <w:tab w:val="left" w:pos="426"/>
        </w:tabs>
        <w:spacing w:after="0"/>
      </w:pPr>
      <w:r>
        <w:tab/>
        <w:t>Tavasz:</w:t>
      </w:r>
    </w:p>
    <w:p w14:paraId="76D4F860" w14:textId="7ED39CAA" w:rsidR="00731F17" w:rsidRDefault="00731F17" w:rsidP="00533645">
      <w:pPr>
        <w:tabs>
          <w:tab w:val="left" w:pos="426"/>
        </w:tabs>
        <w:spacing w:after="0"/>
      </w:pPr>
      <w:r>
        <w:tab/>
      </w:r>
      <w:r>
        <w:tab/>
        <w:t>Itt már a jövőben vagyunk</w:t>
      </w:r>
    </w:p>
    <w:p w14:paraId="5E4B38F1" w14:textId="2CC7BCF6" w:rsidR="00731F17" w:rsidRPr="00577B07" w:rsidRDefault="00731F17" w:rsidP="00533645">
      <w:pPr>
        <w:tabs>
          <w:tab w:val="left" w:pos="426"/>
        </w:tabs>
        <w:spacing w:after="0"/>
      </w:pPr>
      <w:r>
        <w:tab/>
      </w:r>
      <w:r>
        <w:tab/>
        <w:t xml:space="preserve">Az újjászületés képe hamis </w:t>
      </w:r>
      <w:r>
        <w:sym w:font="Wingdings" w:char="F0E0"/>
      </w:r>
      <w:r>
        <w:t xml:space="preserve"> a történelem körforgásszerű, nincs benne fejlődés</w:t>
      </w:r>
    </w:p>
    <w:sectPr w:rsidR="00731F17" w:rsidRPr="00577B07" w:rsidSect="00B93041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B0F6" w14:textId="77777777" w:rsidR="00B93041" w:rsidRDefault="00B93041" w:rsidP="000340C0">
      <w:pPr>
        <w:spacing w:after="0" w:line="240" w:lineRule="auto"/>
      </w:pPr>
      <w:r>
        <w:separator/>
      </w:r>
    </w:p>
  </w:endnote>
  <w:endnote w:type="continuationSeparator" w:id="0">
    <w:p w14:paraId="2A405E9D" w14:textId="77777777" w:rsidR="00B93041" w:rsidRDefault="00B93041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955B" w14:textId="77777777" w:rsidR="00B93041" w:rsidRDefault="00B93041" w:rsidP="000340C0">
      <w:pPr>
        <w:spacing w:after="0" w:line="240" w:lineRule="auto"/>
      </w:pPr>
      <w:r>
        <w:separator/>
      </w:r>
    </w:p>
  </w:footnote>
  <w:footnote w:type="continuationSeparator" w:id="0">
    <w:p w14:paraId="6F64C97C" w14:textId="77777777" w:rsidR="00B93041" w:rsidRDefault="00B93041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0181"/>
    <w:rsid w:val="00053717"/>
    <w:rsid w:val="00067D3A"/>
    <w:rsid w:val="00094A53"/>
    <w:rsid w:val="000D1203"/>
    <w:rsid w:val="00124BEC"/>
    <w:rsid w:val="001409E3"/>
    <w:rsid w:val="00182F61"/>
    <w:rsid w:val="00193FD1"/>
    <w:rsid w:val="001A3BB0"/>
    <w:rsid w:val="001B0DFE"/>
    <w:rsid w:val="001F2534"/>
    <w:rsid w:val="00202FAB"/>
    <w:rsid w:val="00216ED6"/>
    <w:rsid w:val="00217FB6"/>
    <w:rsid w:val="0022775C"/>
    <w:rsid w:val="00235CBD"/>
    <w:rsid w:val="0026302C"/>
    <w:rsid w:val="0026425B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26F64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3645"/>
    <w:rsid w:val="005360F9"/>
    <w:rsid w:val="00544ABD"/>
    <w:rsid w:val="00577B07"/>
    <w:rsid w:val="00582E3D"/>
    <w:rsid w:val="00591C03"/>
    <w:rsid w:val="005E3500"/>
    <w:rsid w:val="00622EF6"/>
    <w:rsid w:val="006370F7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31F17"/>
    <w:rsid w:val="007B57B3"/>
    <w:rsid w:val="007C01A3"/>
    <w:rsid w:val="007D46B1"/>
    <w:rsid w:val="007E7033"/>
    <w:rsid w:val="007F3C1D"/>
    <w:rsid w:val="007F6634"/>
    <w:rsid w:val="00827EA8"/>
    <w:rsid w:val="008E2E48"/>
    <w:rsid w:val="00905B23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93041"/>
    <w:rsid w:val="00BE5849"/>
    <w:rsid w:val="00C052C6"/>
    <w:rsid w:val="00C10AFE"/>
    <w:rsid w:val="00C606AB"/>
    <w:rsid w:val="00C93F40"/>
    <w:rsid w:val="00CB572C"/>
    <w:rsid w:val="00CC0193"/>
    <w:rsid w:val="00CE51D7"/>
    <w:rsid w:val="00CF6BB9"/>
    <w:rsid w:val="00D07495"/>
    <w:rsid w:val="00D21D9E"/>
    <w:rsid w:val="00D24AC8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124DF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0C0"/>
    <w:rPr>
      <w:vertAlign w:val="superscript"/>
    </w:rPr>
  </w:style>
  <w:style w:type="character" w:styleId="Strong">
    <w:name w:val="Strong"/>
    <w:basedOn w:val="DefaultParagraphFont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835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117</cp:revision>
  <dcterms:created xsi:type="dcterms:W3CDTF">2023-12-01T09:10:00Z</dcterms:created>
  <dcterms:modified xsi:type="dcterms:W3CDTF">2024-01-15T18:30:00Z</dcterms:modified>
</cp:coreProperties>
</file>