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B236C" w14:textId="304B9B91" w:rsidR="00393B75" w:rsidRPr="0053024E" w:rsidRDefault="0053024E" w:rsidP="0053024E">
      <w:pPr>
        <w:spacing w:after="0"/>
        <w:jc w:val="center"/>
        <w:rPr>
          <w:b/>
          <w:bCs/>
          <w:sz w:val="32"/>
          <w:szCs w:val="32"/>
        </w:rPr>
      </w:pPr>
      <w:r w:rsidRPr="0053024E">
        <w:rPr>
          <w:b/>
          <w:bCs/>
          <w:sz w:val="32"/>
          <w:szCs w:val="32"/>
        </w:rPr>
        <w:t>A rendi országgyűlés és a megyerendszer a reformkorban</w:t>
      </w:r>
    </w:p>
    <w:p w14:paraId="5CC8AB73" w14:textId="77777777" w:rsidR="0053024E" w:rsidRDefault="0053024E" w:rsidP="0053024E">
      <w:pPr>
        <w:spacing w:after="0"/>
      </w:pPr>
    </w:p>
    <w:p w14:paraId="05B78CA1" w14:textId="235C4234" w:rsidR="0053024E" w:rsidRPr="0053024E" w:rsidRDefault="0053024E" w:rsidP="0053024E">
      <w:pPr>
        <w:spacing w:after="0"/>
        <w:rPr>
          <w:b/>
          <w:bCs/>
          <w:u w:val="single"/>
        </w:rPr>
      </w:pPr>
      <w:r w:rsidRPr="0053024E">
        <w:rPr>
          <w:b/>
          <w:bCs/>
          <w:u w:val="single"/>
        </w:rPr>
        <w:t>Magyarország irányítása:</w:t>
      </w:r>
    </w:p>
    <w:p w14:paraId="1E58928F" w14:textId="37F6014B" w:rsidR="0053024E" w:rsidRDefault="0053024E" w:rsidP="0053024E">
      <w:pPr>
        <w:spacing w:after="0"/>
      </w:pPr>
      <w:r w:rsidRPr="00B60885">
        <w:rPr>
          <w:b/>
          <w:bCs/>
        </w:rPr>
        <w:t>A magyar korona országai</w:t>
      </w:r>
      <w:r>
        <w:t xml:space="preserve"> a birodalom területének 51,5%-a, a lakosságának 42,5%-a:</w:t>
      </w:r>
    </w:p>
    <w:p w14:paraId="50AEA93D" w14:textId="17190191" w:rsidR="0053024E" w:rsidRDefault="0053024E" w:rsidP="0053024E">
      <w:pPr>
        <w:spacing w:after="0"/>
        <w:ind w:firstLine="708"/>
      </w:pPr>
      <w:r w:rsidRPr="00B60885">
        <w:rPr>
          <w:b/>
          <w:bCs/>
        </w:rPr>
        <w:t>Erdélyi Nagyfejedelemség</w:t>
      </w:r>
      <w:r>
        <w:t xml:space="preserve">: </w:t>
      </w:r>
    </w:p>
    <w:p w14:paraId="69A39036" w14:textId="4F74C35F" w:rsidR="0053024E" w:rsidRDefault="0053024E" w:rsidP="0053024E">
      <w:pPr>
        <w:pStyle w:val="Listaszerbekezds"/>
        <w:numPr>
          <w:ilvl w:val="0"/>
          <w:numId w:val="4"/>
        </w:numPr>
        <w:spacing w:after="0"/>
        <w:ind w:left="1440" w:hanging="246"/>
      </w:pPr>
      <w:r>
        <w:t xml:space="preserve">Irányítja a „nagyfejedelem”, a Bécsben lévő erdélyi udvari kancellária, a Kolozsvárott lévő </w:t>
      </w:r>
      <w:proofErr w:type="spellStart"/>
      <w:r>
        <w:t>Nagygubernium</w:t>
      </w:r>
      <w:proofErr w:type="spellEnd"/>
      <w:r>
        <w:t xml:space="preserve"> (kormányzótanács) </w:t>
      </w:r>
    </w:p>
    <w:p w14:paraId="0D40E2B7" w14:textId="4C226DF2" w:rsidR="0053024E" w:rsidRDefault="0053024E" w:rsidP="0053024E">
      <w:pPr>
        <w:pStyle w:val="Listaszerbekezds"/>
        <w:numPr>
          <w:ilvl w:val="0"/>
          <w:numId w:val="4"/>
        </w:numPr>
        <w:spacing w:after="0"/>
        <w:ind w:left="1440" w:hanging="246"/>
      </w:pPr>
      <w:r>
        <w:t xml:space="preserve">A pénzügyek a kincstartósághoz tartoztak </w:t>
      </w:r>
    </w:p>
    <w:p w14:paraId="4B8D9340" w14:textId="53B86CC8" w:rsidR="0053024E" w:rsidRDefault="0053024E" w:rsidP="0053024E">
      <w:pPr>
        <w:pStyle w:val="Listaszerbekezds"/>
        <w:numPr>
          <w:ilvl w:val="0"/>
          <w:numId w:val="4"/>
        </w:numPr>
        <w:spacing w:after="0"/>
        <w:ind w:left="1440" w:hanging="246"/>
      </w:pPr>
      <w:r>
        <w:t>Saját országgyűlése volt, a követek a magyar, a szász, a székely náció szerinti keretekben hoztak határozatokat</w:t>
      </w:r>
    </w:p>
    <w:p w14:paraId="4ED5939D" w14:textId="77777777" w:rsidR="0053024E" w:rsidRDefault="0053024E" w:rsidP="0053024E">
      <w:pPr>
        <w:spacing w:after="0"/>
      </w:pPr>
    </w:p>
    <w:p w14:paraId="3671168C" w14:textId="78AA1745" w:rsidR="0053024E" w:rsidRDefault="0053024E" w:rsidP="0053024E">
      <w:pPr>
        <w:spacing w:after="0"/>
        <w:ind w:left="708"/>
      </w:pPr>
      <w:r w:rsidRPr="00B60885">
        <w:rPr>
          <w:b/>
          <w:bCs/>
        </w:rPr>
        <w:t>Magyar Királyság</w:t>
      </w:r>
      <w:r>
        <w:t xml:space="preserve"> (Magyarország, Horvát-Szlavónország, Határőrvidék) </w:t>
      </w:r>
    </w:p>
    <w:p w14:paraId="798710D0" w14:textId="284F281A" w:rsidR="00627FB3" w:rsidRDefault="00627FB3" w:rsidP="00627FB3">
      <w:pPr>
        <w:pStyle w:val="Listaszerbekezds"/>
        <w:numPr>
          <w:ilvl w:val="0"/>
          <w:numId w:val="5"/>
        </w:numPr>
        <w:spacing w:after="0"/>
        <w:ind w:left="1440" w:hanging="270"/>
      </w:pPr>
      <w:r>
        <w:t>52 megye, 52 szabad királyi város és 4 szabad kerület</w:t>
      </w:r>
    </w:p>
    <w:p w14:paraId="22E2BBF5" w14:textId="1D6FBA85" w:rsidR="00627FB3" w:rsidRDefault="00627FB3" w:rsidP="00627FB3">
      <w:pPr>
        <w:pStyle w:val="Listaszerbekezds"/>
        <w:numPr>
          <w:ilvl w:val="0"/>
          <w:numId w:val="5"/>
        </w:numPr>
        <w:spacing w:after="0"/>
        <w:ind w:left="1440" w:hanging="270"/>
      </w:pPr>
      <w:r>
        <w:t xml:space="preserve">A Határőrvidéket az Udvari Haditanács kormányozta </w:t>
      </w:r>
    </w:p>
    <w:p w14:paraId="3124144F" w14:textId="227F1491" w:rsidR="00627FB3" w:rsidRDefault="00627FB3" w:rsidP="00627FB3">
      <w:pPr>
        <w:pStyle w:val="Listaszerbekezds"/>
        <w:numPr>
          <w:ilvl w:val="0"/>
          <w:numId w:val="5"/>
        </w:numPr>
        <w:spacing w:after="0"/>
        <w:ind w:left="1440" w:hanging="270"/>
      </w:pPr>
      <w:r>
        <w:t xml:space="preserve">Magyarországot és Horvát-Szlavónországot a bécsi magyar királyi udvari kancellárián keresztül irányították </w:t>
      </w:r>
    </w:p>
    <w:p w14:paraId="6998E793" w14:textId="552A0742" w:rsidR="00627FB3" w:rsidRDefault="00627FB3" w:rsidP="00627FB3">
      <w:pPr>
        <w:pStyle w:val="Listaszerbekezds"/>
        <w:numPr>
          <w:ilvl w:val="0"/>
          <w:numId w:val="5"/>
        </w:numPr>
        <w:spacing w:after="0"/>
        <w:ind w:left="1440" w:hanging="270"/>
      </w:pPr>
      <w:r>
        <w:t xml:space="preserve">A pénzügyeket a Magyar Udvari Kamara intézte </w:t>
      </w:r>
    </w:p>
    <w:p w14:paraId="73592C8E" w14:textId="099C0965" w:rsidR="00627FB3" w:rsidRDefault="00627FB3" w:rsidP="00627FB3">
      <w:pPr>
        <w:pStyle w:val="Listaszerbekezds"/>
        <w:numPr>
          <w:ilvl w:val="0"/>
          <w:numId w:val="5"/>
        </w:numPr>
        <w:spacing w:after="0"/>
        <w:ind w:left="1440" w:hanging="270"/>
      </w:pPr>
      <w:r>
        <w:t>Legfelső bírói szerv: Hétszemélyes Tábla</w:t>
      </w:r>
    </w:p>
    <w:p w14:paraId="0C21A687" w14:textId="77777777" w:rsidR="00627FB3" w:rsidRDefault="00627FB3" w:rsidP="00627FB3">
      <w:pPr>
        <w:spacing w:after="0"/>
      </w:pPr>
    </w:p>
    <w:p w14:paraId="718E6515" w14:textId="3BE27520" w:rsidR="009E7889" w:rsidRPr="009E7889" w:rsidRDefault="009E7889" w:rsidP="00627FB3">
      <w:pPr>
        <w:spacing w:after="0"/>
        <w:rPr>
          <w:b/>
          <w:bCs/>
          <w:u w:val="single"/>
        </w:rPr>
      </w:pPr>
      <w:r w:rsidRPr="009E7889">
        <w:rPr>
          <w:b/>
          <w:bCs/>
          <w:u w:val="single"/>
        </w:rPr>
        <w:t>A rendi országgyűlés</w:t>
      </w:r>
    </w:p>
    <w:p w14:paraId="65FBA8E7" w14:textId="39D3EDD1" w:rsidR="00627FB3" w:rsidRPr="002F03BC" w:rsidRDefault="00627FB3" w:rsidP="00627FB3">
      <w:pPr>
        <w:spacing w:after="0"/>
        <w:rPr>
          <w:b/>
          <w:bCs/>
        </w:rPr>
      </w:pPr>
      <w:r w:rsidRPr="002F03BC">
        <w:rPr>
          <w:b/>
          <w:bCs/>
        </w:rPr>
        <w:t>Felépítése - Kétkamarás:</w:t>
      </w:r>
    </w:p>
    <w:p w14:paraId="702C9F66" w14:textId="25DA5C9D" w:rsidR="00627FB3" w:rsidRDefault="00627FB3" w:rsidP="00627FB3">
      <w:pPr>
        <w:spacing w:after="0"/>
        <w:ind w:left="630" w:hanging="90"/>
      </w:pPr>
      <w:r>
        <w:tab/>
      </w:r>
      <w:r w:rsidRPr="00627FB3">
        <w:rPr>
          <w:b/>
          <w:bCs/>
        </w:rPr>
        <w:t>alsótába</w:t>
      </w:r>
      <w:r>
        <w:t>: 52 megye 2-2 követe (egyenként szavaztak) + a szabad királyi városok és a káptalanok követei (összesen 1-1 szavazat). Elnöke: a személynök</w:t>
      </w:r>
    </w:p>
    <w:p w14:paraId="6EA8D44A" w14:textId="77777777" w:rsidR="00787FB4" w:rsidRDefault="00787FB4" w:rsidP="00627FB3">
      <w:pPr>
        <w:spacing w:after="0"/>
        <w:ind w:left="630" w:hanging="90"/>
      </w:pPr>
    </w:p>
    <w:p w14:paraId="364A8F66" w14:textId="46EA4B84" w:rsidR="00787FB4" w:rsidRDefault="00787FB4" w:rsidP="00627FB3">
      <w:pPr>
        <w:spacing w:after="0"/>
        <w:ind w:left="630" w:hanging="90"/>
      </w:pPr>
      <w:r>
        <w:tab/>
      </w:r>
      <w:r w:rsidRPr="00787FB4">
        <w:rPr>
          <w:b/>
          <w:bCs/>
        </w:rPr>
        <w:t>felsőtábla</w:t>
      </w:r>
      <w:r>
        <w:t xml:space="preserve">: világi arisztokrácia, főispánok, egyházi főméltóságok. Elnöke: a nádor </w:t>
      </w:r>
    </w:p>
    <w:p w14:paraId="02BD9FDF" w14:textId="77777777" w:rsidR="00CC2260" w:rsidRDefault="00CC2260" w:rsidP="00CC2260">
      <w:pPr>
        <w:spacing w:after="0"/>
      </w:pPr>
    </w:p>
    <w:p w14:paraId="19852AFE" w14:textId="696AD58A" w:rsidR="00CC2260" w:rsidRPr="00CC2260" w:rsidRDefault="00CC2260" w:rsidP="00CC2260">
      <w:pPr>
        <w:spacing w:after="0"/>
        <w:rPr>
          <w:b/>
          <w:bCs/>
        </w:rPr>
      </w:pPr>
      <w:r w:rsidRPr="00CC2260">
        <w:rPr>
          <w:b/>
          <w:bCs/>
        </w:rPr>
        <w:t xml:space="preserve">Ügyrend: </w:t>
      </w:r>
    </w:p>
    <w:p w14:paraId="02B9E589" w14:textId="2E8A8840" w:rsidR="00CC2260" w:rsidRDefault="00CC2260" w:rsidP="00CC2260">
      <w:pPr>
        <w:spacing w:after="0"/>
      </w:pPr>
      <w:r>
        <w:t xml:space="preserve">Az országgyűlést a </w:t>
      </w:r>
      <w:r w:rsidRPr="00B60885">
        <w:rPr>
          <w:b/>
          <w:bCs/>
        </w:rPr>
        <w:t>királyi indítványok</w:t>
      </w:r>
      <w:r>
        <w:t xml:space="preserve"> felolvasása nyitotta meg.</w:t>
      </w:r>
    </w:p>
    <w:p w14:paraId="28545516" w14:textId="77777777" w:rsidR="00CC2260" w:rsidRDefault="00CC2260" w:rsidP="00CC2260">
      <w:pPr>
        <w:spacing w:after="0"/>
      </w:pPr>
    </w:p>
    <w:p w14:paraId="2C9CD545" w14:textId="0E1650F5" w:rsidR="00CC2260" w:rsidRDefault="00CC2260" w:rsidP="00CC22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752A" wp14:editId="6BB91E84">
                <wp:simplePos x="0" y="0"/>
                <wp:positionH relativeFrom="column">
                  <wp:posOffset>1935902</wp:posOffset>
                </wp:positionH>
                <wp:positionV relativeFrom="paragraph">
                  <wp:posOffset>163665</wp:posOffset>
                </wp:positionV>
                <wp:extent cx="0" cy="200851"/>
                <wp:effectExtent l="76200" t="0" r="57150" b="66040"/>
                <wp:wrapNone/>
                <wp:docPr id="16461864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64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2.45pt;margin-top:12.9pt;width:0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+PtAEAAL4DAAAOAAAAZHJzL2Uyb0RvYy54bWysU8lu2zAQvRfIPxC815IDt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Az országgyűlés ezután megvitatta a sérelmeket és a beterjesztett törvényeket </w:t>
      </w:r>
    </w:p>
    <w:p w14:paraId="1E05DE5A" w14:textId="77777777" w:rsidR="00CC2260" w:rsidRDefault="00CC2260" w:rsidP="00CC2260">
      <w:pPr>
        <w:spacing w:after="0"/>
      </w:pPr>
    </w:p>
    <w:p w14:paraId="62ECF3FD" w14:textId="5A8C3B1C" w:rsidR="00CC2260" w:rsidRDefault="00CC2260" w:rsidP="00CC2260">
      <w:pPr>
        <w:spacing w:after="0"/>
      </w:pPr>
      <w:r>
        <w:t xml:space="preserve">A megyék követei nem térhettek el a megyegyűléseken minden egyes programponthoz meghatározott </w:t>
      </w:r>
      <w:r w:rsidRPr="00B60885">
        <w:rPr>
          <w:b/>
          <w:bCs/>
        </w:rPr>
        <w:t>követutasítástól</w:t>
      </w:r>
    </w:p>
    <w:p w14:paraId="7389391A" w14:textId="77777777" w:rsidR="00CC2260" w:rsidRDefault="00CC2260" w:rsidP="00CC2260">
      <w:pPr>
        <w:spacing w:after="0"/>
      </w:pPr>
    </w:p>
    <w:p w14:paraId="7EAF48E8" w14:textId="14B494D8" w:rsidR="00CC2260" w:rsidRDefault="00CC2260" w:rsidP="00CC2260">
      <w:pPr>
        <w:spacing w:after="0"/>
      </w:pPr>
      <w:r>
        <w:t xml:space="preserve">Az </w:t>
      </w:r>
      <w:r w:rsidRPr="003C4854">
        <w:rPr>
          <w:b/>
          <w:bCs/>
        </w:rPr>
        <w:t>alsótábla</w:t>
      </w:r>
      <w:r>
        <w:t xml:space="preserve"> viták után a törvényjavaslatot </w:t>
      </w:r>
      <w:r w:rsidRPr="003C4854">
        <w:rPr>
          <w:b/>
          <w:bCs/>
        </w:rPr>
        <w:t>üzenet</w:t>
      </w:r>
      <w:r>
        <w:t xml:space="preserve"> formájában eljuttatta a </w:t>
      </w:r>
      <w:r w:rsidRPr="003C4854">
        <w:rPr>
          <w:b/>
          <w:bCs/>
        </w:rPr>
        <w:t>felsőtáblának</w:t>
      </w:r>
      <w:r>
        <w:t xml:space="preserve">, amely azt megvitatta, majd </w:t>
      </w:r>
      <w:r w:rsidRPr="003C4854">
        <w:rPr>
          <w:b/>
          <w:bCs/>
        </w:rPr>
        <w:t>válaszüzenetet</w:t>
      </w:r>
      <w:r>
        <w:t xml:space="preserve"> küldött az </w:t>
      </w:r>
      <w:r w:rsidRPr="003C4854">
        <w:rPr>
          <w:b/>
          <w:bCs/>
        </w:rPr>
        <w:t>alsótáblának</w:t>
      </w:r>
      <w:r>
        <w:t xml:space="preserve">. Az üzenetek addig folytak, ameddig a két ház meg nem állapodott egy </w:t>
      </w:r>
      <w:r w:rsidRPr="003C4854">
        <w:rPr>
          <w:b/>
          <w:bCs/>
        </w:rPr>
        <w:t>kompromisszumos</w:t>
      </w:r>
      <w:r>
        <w:t xml:space="preserve"> megoldásban. </w:t>
      </w:r>
    </w:p>
    <w:p w14:paraId="29030385" w14:textId="77777777" w:rsidR="00CC2260" w:rsidRDefault="00CC2260" w:rsidP="00CC2260">
      <w:pPr>
        <w:spacing w:after="0"/>
      </w:pPr>
    </w:p>
    <w:p w14:paraId="7BB8E4CA" w14:textId="7062D340" w:rsidR="00CC2260" w:rsidRDefault="00CC2260" w:rsidP="00CC2260">
      <w:pPr>
        <w:spacing w:after="0"/>
      </w:pPr>
      <w:r>
        <w:t xml:space="preserve">Ha megszületett a kompromisszum, akkor a javaslatot </w:t>
      </w:r>
      <w:r w:rsidRPr="003C4854">
        <w:rPr>
          <w:b/>
          <w:bCs/>
        </w:rPr>
        <w:t>felirat</w:t>
      </w:r>
      <w:r>
        <w:t xml:space="preserve"> formájában küldték meg az </w:t>
      </w:r>
      <w:r w:rsidRPr="003C4854">
        <w:rPr>
          <w:b/>
          <w:bCs/>
        </w:rPr>
        <w:t>uralkodónak</w:t>
      </w:r>
      <w:r>
        <w:t xml:space="preserve">, aki azt vagy </w:t>
      </w:r>
      <w:r w:rsidRPr="003C4854">
        <w:rPr>
          <w:b/>
          <w:bCs/>
        </w:rPr>
        <w:t>szentesítette</w:t>
      </w:r>
      <w:r>
        <w:t xml:space="preserve"> </w:t>
      </w:r>
      <w:r w:rsidRPr="003C4854">
        <w:rPr>
          <w:b/>
          <w:bCs/>
        </w:rPr>
        <w:t>vagy leirat</w:t>
      </w:r>
      <w:r>
        <w:t xml:space="preserve"> formájában </w:t>
      </w:r>
      <w:r w:rsidRPr="003C4854">
        <w:rPr>
          <w:b/>
          <w:bCs/>
        </w:rPr>
        <w:t>visszaküldte</w:t>
      </w:r>
      <w:r>
        <w:t xml:space="preserve"> újratárgyalásra, ami az egész folyamat újrakezdését jelentette. </w:t>
      </w:r>
    </w:p>
    <w:p w14:paraId="77733F31" w14:textId="77777777" w:rsidR="00CC2260" w:rsidRDefault="00CC2260" w:rsidP="00CC2260">
      <w:pPr>
        <w:spacing w:after="0"/>
      </w:pPr>
    </w:p>
    <w:p w14:paraId="0EA83389" w14:textId="77777777" w:rsidR="00F27655" w:rsidRDefault="00F27655" w:rsidP="00F27655">
      <w:pPr>
        <w:spacing w:after="0"/>
      </w:pPr>
    </w:p>
    <w:p w14:paraId="248FFACE" w14:textId="77777777" w:rsidR="00F27655" w:rsidRDefault="00F27655" w:rsidP="00F27655">
      <w:pPr>
        <w:spacing w:after="0"/>
      </w:pPr>
    </w:p>
    <w:p w14:paraId="7DAE03C0" w14:textId="77777777" w:rsidR="00F27655" w:rsidRDefault="00F27655" w:rsidP="00F27655">
      <w:pPr>
        <w:spacing w:after="0"/>
      </w:pPr>
    </w:p>
    <w:p w14:paraId="0D9343EA" w14:textId="77777777" w:rsidR="00F27655" w:rsidRDefault="00F27655" w:rsidP="00F27655">
      <w:pPr>
        <w:spacing w:after="0"/>
      </w:pPr>
    </w:p>
    <w:p w14:paraId="703DDA80" w14:textId="77777777" w:rsidR="00F27655" w:rsidRDefault="00F27655" w:rsidP="00F27655">
      <w:pPr>
        <w:spacing w:after="0"/>
      </w:pPr>
    </w:p>
    <w:p w14:paraId="17F104A9" w14:textId="65A118B6" w:rsidR="00F27655" w:rsidRPr="009B4292" w:rsidRDefault="00F27655" w:rsidP="00F27655">
      <w:pPr>
        <w:spacing w:after="0"/>
        <w:rPr>
          <w:b/>
          <w:bCs/>
        </w:rPr>
      </w:pPr>
      <w:r w:rsidRPr="009B4292">
        <w:rPr>
          <w:b/>
          <w:bCs/>
        </w:rPr>
        <w:lastRenderedPageBreak/>
        <w:t>Az ülések</w:t>
      </w:r>
    </w:p>
    <w:p w14:paraId="2CF80D85" w14:textId="5E7C2028" w:rsidR="00F27655" w:rsidRDefault="00F27655" w:rsidP="00F27655">
      <w:pPr>
        <w:spacing w:after="0"/>
      </w:pPr>
      <w:r>
        <w:t xml:space="preserve">Az országgyűlést a </w:t>
      </w:r>
      <w:r w:rsidRPr="003C4854">
        <w:rPr>
          <w:b/>
          <w:bCs/>
        </w:rPr>
        <w:t>király hívta össze Pozsonyba</w:t>
      </w:r>
      <w:r>
        <w:t xml:space="preserve">. </w:t>
      </w:r>
    </w:p>
    <w:p w14:paraId="0FF8AF46" w14:textId="77777777" w:rsidR="00F27655" w:rsidRDefault="00F27655" w:rsidP="00F27655">
      <w:pPr>
        <w:spacing w:after="0"/>
      </w:pPr>
    </w:p>
    <w:p w14:paraId="1BE11F52" w14:textId="384A284C" w:rsidR="00F27655" w:rsidRDefault="00F27655" w:rsidP="00F27655">
      <w:pPr>
        <w:spacing w:after="0"/>
      </w:pPr>
      <w:r>
        <w:t xml:space="preserve">A </w:t>
      </w:r>
      <w:r w:rsidRPr="003C4854">
        <w:rPr>
          <w:b/>
          <w:bCs/>
        </w:rPr>
        <w:t>munkanyelv</w:t>
      </w:r>
      <w:r>
        <w:t xml:space="preserve"> 1844-ug a latin, utána a magyar volt</w:t>
      </w:r>
    </w:p>
    <w:p w14:paraId="292FD225" w14:textId="77777777" w:rsidR="00F27655" w:rsidRDefault="00F27655" w:rsidP="00F27655">
      <w:pPr>
        <w:spacing w:after="0"/>
      </w:pPr>
    </w:p>
    <w:p w14:paraId="796F2778" w14:textId="36B67F49" w:rsidR="00F27655" w:rsidRDefault="00F27655" w:rsidP="00F27655">
      <w:pPr>
        <w:spacing w:after="0"/>
      </w:pPr>
      <w:r>
        <w:t>Az országgyűlés ülését látogatták fiatal joghallgatók (</w:t>
      </w:r>
      <w:r w:rsidRPr="003C4854">
        <w:rPr>
          <w:b/>
          <w:bCs/>
        </w:rPr>
        <w:t>országgyűlési ifjak</w:t>
      </w:r>
      <w:r>
        <w:t xml:space="preserve">), akik a karzatról figyelték az eseményeket és lelkesen megéljeneztek a reformjavaslatokat és tüntetéseket is szerveztek a reformellenzék követei mellett. </w:t>
      </w:r>
      <w:proofErr w:type="spellStart"/>
      <w:r>
        <w:t>Egyikőjüket</w:t>
      </w:r>
      <w:proofErr w:type="spellEnd"/>
      <w:r>
        <w:t xml:space="preserve"> Lovassy Lászlót 1837-ben 10 év börtönre ítélték – 1840.-ben, de már őrülten szabadulhatott. </w:t>
      </w:r>
    </w:p>
    <w:p w14:paraId="6C99B629" w14:textId="77777777" w:rsidR="00F27655" w:rsidRDefault="00F27655" w:rsidP="00F27655">
      <w:pPr>
        <w:spacing w:after="0"/>
      </w:pPr>
    </w:p>
    <w:p w14:paraId="4F48C97C" w14:textId="14425115" w:rsidR="00F27655" w:rsidRPr="00C76DE4" w:rsidRDefault="00F27655" w:rsidP="00F27655">
      <w:pPr>
        <w:spacing w:after="0"/>
        <w:rPr>
          <w:b/>
          <w:bCs/>
        </w:rPr>
      </w:pPr>
      <w:r w:rsidRPr="00C76DE4">
        <w:rPr>
          <w:b/>
          <w:bCs/>
        </w:rPr>
        <w:t>A reformkori országgyűlés működése</w:t>
      </w:r>
      <w:r>
        <w:rPr>
          <w:b/>
          <w:bCs/>
        </w:rPr>
        <w:t xml:space="preserve"> (Órai vázlat)</w:t>
      </w:r>
      <w:r w:rsidRPr="00C76DE4">
        <w:rPr>
          <w:b/>
          <w:bCs/>
        </w:rPr>
        <w:t xml:space="preserve">: </w:t>
      </w:r>
    </w:p>
    <w:p w14:paraId="36666B6B" w14:textId="77777777" w:rsidR="00F27655" w:rsidRDefault="00F27655" w:rsidP="00F27655">
      <w:pPr>
        <w:spacing w:after="0"/>
      </w:pPr>
    </w:p>
    <w:p w14:paraId="1233CBC1" w14:textId="77777777" w:rsidR="00F27655" w:rsidRDefault="00F27655" w:rsidP="00F27655">
      <w:pPr>
        <w:spacing w:after="0"/>
      </w:pPr>
      <w:r>
        <w:tab/>
      </w:r>
      <w:r>
        <w:tab/>
      </w:r>
      <w:r>
        <w:tab/>
        <w:t xml:space="preserve">összehívja, </w:t>
      </w:r>
    </w:p>
    <w:p w14:paraId="681C6375" w14:textId="77777777" w:rsidR="00F27655" w:rsidRDefault="00F27655" w:rsidP="00F27655">
      <w:pPr>
        <w:spacing w:after="0"/>
      </w:pPr>
      <w:r>
        <w:t>Leirat</w:t>
      </w:r>
      <w:r>
        <w:tab/>
      </w:r>
      <w:r>
        <w:tab/>
      </w:r>
      <w:r>
        <w:tab/>
        <w:t xml:space="preserve">javaslat a témára </w:t>
      </w:r>
    </w:p>
    <w:p w14:paraId="24207020" w14:textId="77777777" w:rsidR="00F27655" w:rsidRDefault="00F27655" w:rsidP="00F27655">
      <w:pPr>
        <w:tabs>
          <w:tab w:val="left" w:pos="4253"/>
          <w:tab w:val="left" w:pos="822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A6783" wp14:editId="1361DC8B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014E2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66CB5" wp14:editId="0A9515AD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211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D50FD" wp14:editId="40C8A3CC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314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09130" wp14:editId="040ED49A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94DB" id="Straight Arrow Connector 2" o:spid="_x0000_s1026" type="#_x0000_t32" style="position:absolute;margin-left:54.15pt;margin-top:3.45pt;width:0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Király</w:t>
      </w:r>
      <w:r>
        <w:tab/>
        <w:t>Felirat</w:t>
      </w:r>
    </w:p>
    <w:p w14:paraId="0B7A2F54" w14:textId="77777777" w:rsidR="00F27655" w:rsidRDefault="00F27655" w:rsidP="00F27655">
      <w:pPr>
        <w:spacing w:after="0"/>
      </w:pPr>
      <w:r>
        <w:tab/>
        <w:t>Felsőtábla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Alsótábla</w:t>
      </w:r>
    </w:p>
    <w:p w14:paraId="697669BA" w14:textId="77777777" w:rsidR="00F27655" w:rsidRDefault="00F27655" w:rsidP="00F27655">
      <w:pPr>
        <w:spacing w:after="0"/>
      </w:pPr>
    </w:p>
    <w:p w14:paraId="7EC2F7F5" w14:textId="77777777" w:rsidR="00F27655" w:rsidRDefault="00F27655" w:rsidP="00F27655">
      <w:pPr>
        <w:tabs>
          <w:tab w:val="left" w:pos="4253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EDCA8" wp14:editId="1763E22A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C0AD6" id="Straight Arrow Connector 6" o:spid="_x0000_s1026" type="#_x0000_t32" style="position:absolute;margin-left:194.75pt;margin-top:13.6pt;width:65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főnemesek (születés - személyes meghívó) </w:t>
      </w:r>
      <w:r>
        <w:tab/>
        <w:t>Átirat</w:t>
      </w:r>
      <w:r>
        <w:tab/>
        <w:t xml:space="preserve">- vármegyék követei (megyénkként 2-2) </w:t>
      </w:r>
    </w:p>
    <w:p w14:paraId="18AF67B8" w14:textId="77777777" w:rsidR="00F27655" w:rsidRDefault="00F27655" w:rsidP="00F27655">
      <w:pPr>
        <w:tabs>
          <w:tab w:val="left" w:pos="5245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82385" wp14:editId="7DA7A358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0F49" id="Straight Arrow Connector 5" o:spid="_x0000_s1026" type="#_x0000_t32" style="position:absolute;margin-left:198.15pt;margin-top:9.95pt;width:63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főispánok </w:t>
      </w:r>
      <w:r>
        <w:tab/>
      </w:r>
      <w:r>
        <w:tab/>
        <w:t xml:space="preserve">- városok követei </w:t>
      </w:r>
    </w:p>
    <w:p w14:paraId="1C2ABF1C" w14:textId="77777777" w:rsidR="00F27655" w:rsidRDefault="00F27655" w:rsidP="00F27655">
      <w:pPr>
        <w:spacing w:after="0"/>
      </w:pPr>
      <w:r>
        <w:t xml:space="preserve">- főpapok </w:t>
      </w:r>
    </w:p>
    <w:p w14:paraId="2EF250AB" w14:textId="77777777" w:rsidR="00F27655" w:rsidRDefault="00F27655" w:rsidP="00F27655">
      <w:pPr>
        <w:spacing w:after="0"/>
      </w:pPr>
    </w:p>
    <w:p w14:paraId="210D6C24" w14:textId="77777777" w:rsidR="00F27655" w:rsidRDefault="00F27655" w:rsidP="00F27655">
      <w:pPr>
        <w:spacing w:after="0"/>
      </w:pPr>
      <w:r>
        <w:t xml:space="preserve">Felirat </w:t>
      </w:r>
      <w:r w:rsidRPr="007656D2">
        <w:sym w:font="Wingdings" w:char="F0E0"/>
      </w:r>
      <w:r>
        <w:t xml:space="preserve"> akkor lesz törvény, ha a király szentesíti (aláírja) </w:t>
      </w:r>
    </w:p>
    <w:p w14:paraId="50E1BB3A" w14:textId="77777777" w:rsidR="00F27655" w:rsidRDefault="00F27655" w:rsidP="00F27655">
      <w:pPr>
        <w:spacing w:after="0"/>
      </w:pPr>
    </w:p>
    <w:p w14:paraId="1A4B646D" w14:textId="1A021139" w:rsidR="00F27655" w:rsidRPr="00F27655" w:rsidRDefault="00F27655" w:rsidP="00F27655">
      <w:pPr>
        <w:spacing w:after="0"/>
        <w:rPr>
          <w:b/>
          <w:bCs/>
          <w:u w:val="single"/>
        </w:rPr>
      </w:pPr>
      <w:r w:rsidRPr="00F27655">
        <w:rPr>
          <w:b/>
          <w:bCs/>
          <w:u w:val="single"/>
        </w:rPr>
        <w:t xml:space="preserve">Megyésgyűlések: </w:t>
      </w:r>
    </w:p>
    <w:p w14:paraId="3ADDF3BA" w14:textId="7E6D4FA2" w:rsidR="00F27655" w:rsidRDefault="00F27655" w:rsidP="00F27655">
      <w:pPr>
        <w:spacing w:after="0"/>
      </w:pPr>
      <w:r>
        <w:t xml:space="preserve">A nemesi vármegye élén a király által kinevezett </w:t>
      </w:r>
      <w:r w:rsidRPr="003C4854">
        <w:rPr>
          <w:b/>
          <w:bCs/>
        </w:rPr>
        <w:t>főispán</w:t>
      </w:r>
      <w:r>
        <w:t xml:space="preserve"> állt. A </w:t>
      </w:r>
      <w:r w:rsidRPr="003C4854">
        <w:rPr>
          <w:b/>
          <w:bCs/>
        </w:rPr>
        <w:t>megyegyűlés választotta</w:t>
      </w:r>
      <w:r>
        <w:t xml:space="preserve"> meg a megyét ténylegesen irányító tisztségviselőit: </w:t>
      </w:r>
      <w:r w:rsidRPr="003C4854">
        <w:rPr>
          <w:b/>
          <w:bCs/>
        </w:rPr>
        <w:t xml:space="preserve">alispán, </w:t>
      </w:r>
      <w:r w:rsidR="003C4854" w:rsidRPr="003C4854">
        <w:rPr>
          <w:b/>
          <w:bCs/>
        </w:rPr>
        <w:t>szolgabírók</w:t>
      </w:r>
      <w:r w:rsidRPr="003C4854">
        <w:rPr>
          <w:b/>
          <w:bCs/>
        </w:rPr>
        <w:t>, esküdtek</w:t>
      </w:r>
    </w:p>
    <w:p w14:paraId="167644E1" w14:textId="77777777" w:rsidR="00F27655" w:rsidRDefault="00F27655" w:rsidP="00F27655">
      <w:pPr>
        <w:spacing w:after="0"/>
      </w:pPr>
    </w:p>
    <w:p w14:paraId="0F61A175" w14:textId="5205BBE7" w:rsidR="00F27655" w:rsidRDefault="00F27655" w:rsidP="00F27655">
      <w:pPr>
        <w:spacing w:after="0"/>
      </w:pPr>
      <w:r>
        <w:t xml:space="preserve">A megyék igen </w:t>
      </w:r>
      <w:r w:rsidRPr="003C4854">
        <w:rPr>
          <w:b/>
          <w:bCs/>
        </w:rPr>
        <w:t>széleskörű autonómiával rendelkeztek</w:t>
      </w:r>
      <w:r>
        <w:t xml:space="preserve">: az országos törvényeket maguk értelmezhették, dönthettek végrehajtásukról. Ez tette lehetővé, hogy ha a megyében a reformszellemiségű nemesek kerültek többségbe, akkor </w:t>
      </w:r>
      <w:r w:rsidRPr="003C4854">
        <w:rPr>
          <w:b/>
          <w:bCs/>
        </w:rPr>
        <w:t>maga a megye válhatott a reformellenzék legfontosabb bástyájává</w:t>
      </w:r>
      <w:r>
        <w:t xml:space="preserve">. </w:t>
      </w:r>
    </w:p>
    <w:p w14:paraId="2D4D95E6" w14:textId="77777777" w:rsidR="00F27655" w:rsidRDefault="00F27655" w:rsidP="00F27655">
      <w:pPr>
        <w:spacing w:after="0"/>
      </w:pPr>
    </w:p>
    <w:p w14:paraId="05D5B783" w14:textId="1EB08B04" w:rsidR="00F27655" w:rsidRPr="00F27655" w:rsidRDefault="00F27655" w:rsidP="00F27655">
      <w:pPr>
        <w:spacing w:after="0"/>
        <w:rPr>
          <w:b/>
          <w:bCs/>
        </w:rPr>
      </w:pPr>
      <w:r w:rsidRPr="00F27655">
        <w:rPr>
          <w:b/>
          <w:bCs/>
        </w:rPr>
        <w:t>A társadalmi élet további (új) színterei</w:t>
      </w:r>
    </w:p>
    <w:p w14:paraId="0F241D22" w14:textId="153B670C" w:rsidR="00F27655" w:rsidRDefault="00F27655" w:rsidP="00F27655">
      <w:pPr>
        <w:spacing w:after="0"/>
      </w:pPr>
      <w:r>
        <w:tab/>
        <w:t>vadászat, lóverseny, kaszinó</w:t>
      </w:r>
    </w:p>
    <w:p w14:paraId="79D0F92E" w14:textId="087C364C" w:rsidR="00F27655" w:rsidRDefault="00F27655" w:rsidP="00F27655">
      <w:pPr>
        <w:spacing w:after="0"/>
      </w:pPr>
      <w:r>
        <w:tab/>
        <w:t>vigasságok, bálok</w:t>
      </w:r>
    </w:p>
    <w:p w14:paraId="2B2F1ABB" w14:textId="2CF4802A" w:rsidR="00F27655" w:rsidRDefault="00F27655" w:rsidP="00F27655">
      <w:pPr>
        <w:spacing w:after="0"/>
      </w:pPr>
      <w:r>
        <w:tab/>
        <w:t xml:space="preserve">politikai könyvek és sajtó </w:t>
      </w:r>
    </w:p>
    <w:p w14:paraId="15B6B05F" w14:textId="762D920E" w:rsidR="00F27655" w:rsidRDefault="00F27655" w:rsidP="00F27655">
      <w:pPr>
        <w:spacing w:after="0"/>
      </w:pPr>
      <w:r>
        <w:tab/>
        <w:t>egyesületek</w:t>
      </w:r>
    </w:p>
    <w:sectPr w:rsidR="00F27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67905"/>
    <w:multiLevelType w:val="hybridMultilevel"/>
    <w:tmpl w:val="F6969432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3D2B"/>
    <w:multiLevelType w:val="hybridMultilevel"/>
    <w:tmpl w:val="FDAEA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7760F"/>
    <w:multiLevelType w:val="hybridMultilevel"/>
    <w:tmpl w:val="CEC8749C"/>
    <w:lvl w:ilvl="0" w:tplc="F22873BE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30E0795"/>
    <w:multiLevelType w:val="hybridMultilevel"/>
    <w:tmpl w:val="4E489602"/>
    <w:lvl w:ilvl="0" w:tplc="E1B0C7A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9B6026"/>
    <w:multiLevelType w:val="hybridMultilevel"/>
    <w:tmpl w:val="9D20812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69978582">
    <w:abstractNumId w:val="1"/>
  </w:num>
  <w:num w:numId="2" w16cid:durableId="207449437">
    <w:abstractNumId w:val="4"/>
  </w:num>
  <w:num w:numId="3" w16cid:durableId="2046632283">
    <w:abstractNumId w:val="2"/>
  </w:num>
  <w:num w:numId="4" w16cid:durableId="321276783">
    <w:abstractNumId w:val="3"/>
  </w:num>
  <w:num w:numId="5" w16cid:durableId="3679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04"/>
    <w:rsid w:val="002F03BC"/>
    <w:rsid w:val="00393B75"/>
    <w:rsid w:val="003C4854"/>
    <w:rsid w:val="0053024E"/>
    <w:rsid w:val="00627FB3"/>
    <w:rsid w:val="00787FB4"/>
    <w:rsid w:val="007A1204"/>
    <w:rsid w:val="009B4292"/>
    <w:rsid w:val="009E7889"/>
    <w:rsid w:val="00B60885"/>
    <w:rsid w:val="00CC2260"/>
    <w:rsid w:val="00E115D1"/>
    <w:rsid w:val="00F2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B87D"/>
  <w15:chartTrackingRefBased/>
  <w15:docId w15:val="{23D1841F-DEEC-42E5-8817-5335018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20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20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2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2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2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2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2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2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20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20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415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2024-12-08T21:59:00Z</dcterms:created>
  <dcterms:modified xsi:type="dcterms:W3CDTF">2024-12-08T22:30:00Z</dcterms:modified>
</cp:coreProperties>
</file>