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4BAC6" w14:textId="2CD5F09D" w:rsidR="00393B75" w:rsidRPr="00DE5C05" w:rsidRDefault="00DF1CD5" w:rsidP="00DE5C05">
      <w:pPr>
        <w:spacing w:after="0"/>
        <w:jc w:val="center"/>
        <w:rPr>
          <w:b/>
          <w:bCs/>
          <w:sz w:val="32"/>
          <w:szCs w:val="32"/>
        </w:rPr>
      </w:pPr>
      <w:r w:rsidRPr="00DE5C05">
        <w:rPr>
          <w:b/>
          <w:bCs/>
          <w:sz w:val="32"/>
          <w:szCs w:val="32"/>
        </w:rPr>
        <w:t>Az egyházszakadás, a nyugati és a keleti kereszténység fő jellemzői</w:t>
      </w:r>
    </w:p>
    <w:p w14:paraId="6D19F1FB" w14:textId="77777777" w:rsidR="00DE5C05" w:rsidRDefault="00DE5C05" w:rsidP="00DE5C05">
      <w:pPr>
        <w:spacing w:after="0"/>
        <w:jc w:val="center"/>
      </w:pPr>
    </w:p>
    <w:p w14:paraId="044F3DAB" w14:textId="3B6BE68E" w:rsidR="00F15762" w:rsidRPr="00F15762" w:rsidRDefault="00F15762" w:rsidP="00DE5C05">
      <w:pPr>
        <w:spacing w:after="0"/>
        <w:rPr>
          <w:b/>
          <w:bCs/>
          <w:u w:val="single"/>
        </w:rPr>
      </w:pPr>
      <w:r w:rsidRPr="00F15762">
        <w:rPr>
          <w:b/>
          <w:bCs/>
          <w:u w:val="single"/>
        </w:rPr>
        <w:t>Az egyházszakadás: szkizma</w:t>
      </w:r>
      <w:r w:rsidR="00077BA3">
        <w:rPr>
          <w:b/>
          <w:bCs/>
          <w:u w:val="single"/>
        </w:rPr>
        <w:t>:</w:t>
      </w:r>
    </w:p>
    <w:p w14:paraId="7712B05B" w14:textId="42CB1772" w:rsidR="00DE5C05" w:rsidRDefault="00DE5C05" w:rsidP="00DE5C0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CD093" wp14:editId="21110B95">
                <wp:simplePos x="0" y="0"/>
                <wp:positionH relativeFrom="column">
                  <wp:posOffset>1776730</wp:posOffset>
                </wp:positionH>
                <wp:positionV relativeFrom="paragraph">
                  <wp:posOffset>179705</wp:posOffset>
                </wp:positionV>
                <wp:extent cx="0" cy="209550"/>
                <wp:effectExtent l="76200" t="0" r="57150" b="57150"/>
                <wp:wrapNone/>
                <wp:docPr id="101440555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8551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39.9pt;margin-top:14.15pt;width:0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>A IV-V. században, a még létező Római Birodalomban kialakult a keresztény egyházszervezet</w:t>
      </w:r>
    </w:p>
    <w:p w14:paraId="20056780" w14:textId="77777777" w:rsidR="00DE5C05" w:rsidRDefault="00DE5C05" w:rsidP="00DE5C05">
      <w:pPr>
        <w:spacing w:after="0"/>
      </w:pPr>
    </w:p>
    <w:p w14:paraId="13DA6EF0" w14:textId="67464CF1" w:rsidR="00DE5C05" w:rsidRDefault="00DE5C05" w:rsidP="00014E91">
      <w:pPr>
        <w:pStyle w:val="Listaszerbekezds"/>
        <w:numPr>
          <w:ilvl w:val="0"/>
          <w:numId w:val="1"/>
        </w:numPr>
        <w:spacing w:after="0"/>
        <w:ind w:left="450"/>
      </w:pPr>
      <w:r>
        <w:t xml:space="preserve">A püspökök által vezetett városi gyülekezeteket a tartományi székhelyek püspökeim a metropoliták (érsekek) irányították </w:t>
      </w:r>
    </w:p>
    <w:p w14:paraId="22CE9990" w14:textId="0E30AA31" w:rsidR="00DE5C05" w:rsidRDefault="00DE5C05" w:rsidP="00DE5C05">
      <w:pPr>
        <w:pStyle w:val="Listaszerbekezds"/>
        <w:numPr>
          <w:ilvl w:val="0"/>
          <w:numId w:val="1"/>
        </w:numPr>
        <w:spacing w:after="0"/>
        <w:ind w:left="4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67119" wp14:editId="6CF47EE0">
                <wp:simplePos x="0" y="0"/>
                <wp:positionH relativeFrom="column">
                  <wp:posOffset>2027583</wp:posOffset>
                </wp:positionH>
                <wp:positionV relativeFrom="paragraph">
                  <wp:posOffset>295772</wp:posOffset>
                </wp:positionV>
                <wp:extent cx="0" cy="209550"/>
                <wp:effectExtent l="76200" t="0" r="57150" b="57150"/>
                <wp:wrapNone/>
                <wp:docPr id="92186828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61193" id="Egyenes összekötő nyíllal 1" o:spid="_x0000_s1026" type="#_x0000_t32" style="position:absolute;margin-left:159.65pt;margin-top:23.3pt;width:0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DdcLdPdAAAACQEAAA8AAABkcnMvZG93bnJldi54&#10;bWxMj8FOwzAMhu9IvENkJG4sHUPdWupOCMFxQqwT4pg1blPROFWTbuXtCeIwjrY//f7+YjvbXpxo&#10;9J1jhOUiAUFcO91xi3CoXu82IHxQrFXvmBC+ycO2vL4qVK7dmd/ptA+tiCHsc4VgQhhyKX1tyCq/&#10;cANxvDVutCrEcWylHtU5htte3idJKq3qOH4waqBnQ/XXfrIITdUe6s+XjZz65m1dfZjM7Kod4u3N&#10;/PQIItAcLjD86kd1KKPT0U2svegRVstsFVGEhzQFEYG/xRFhnaUgy0L+b1D+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DdcLd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Több tartomány alkotta a legmagasabb szintű szervezeti egységet, a </w:t>
      </w:r>
      <w:proofErr w:type="spellStart"/>
      <w:r>
        <w:t>patriarkátust</w:t>
      </w:r>
      <w:proofErr w:type="spellEnd"/>
      <w:r>
        <w:t xml:space="preserve">, amelynek vezetője a patriárka volt: </w:t>
      </w:r>
    </w:p>
    <w:p w14:paraId="3FE87D7D" w14:textId="7375EDCC" w:rsidR="00DE5C05" w:rsidRDefault="00DE5C05" w:rsidP="00014E91">
      <w:pPr>
        <w:spacing w:after="0"/>
        <w:ind w:left="90"/>
      </w:pPr>
    </w:p>
    <w:p w14:paraId="373C348E" w14:textId="282557BB" w:rsidR="00DE5C05" w:rsidRDefault="00DE5C05" w:rsidP="00DE5C05">
      <w:pPr>
        <w:tabs>
          <w:tab w:val="left" w:pos="90"/>
          <w:tab w:val="left" w:pos="1710"/>
        </w:tabs>
        <w:spacing w:after="0"/>
      </w:pPr>
      <w:r>
        <w:tab/>
        <w:t xml:space="preserve">4 patriarkátus volt a birodalom keleti felében: </w:t>
      </w:r>
      <w:proofErr w:type="spellStart"/>
      <w:r>
        <w:t>Antiocha</w:t>
      </w:r>
      <w:proofErr w:type="spellEnd"/>
      <w:r>
        <w:t>, Alexandria, Jeruzsálem, Konstantinápoly</w:t>
      </w:r>
    </w:p>
    <w:p w14:paraId="099E501F" w14:textId="3A6F7CC9" w:rsidR="00DE5C05" w:rsidRDefault="00DE5C05" w:rsidP="00DE5C05">
      <w:pPr>
        <w:tabs>
          <w:tab w:val="left" w:pos="90"/>
        </w:tabs>
        <w:spacing w:after="0"/>
      </w:pPr>
      <w:r>
        <w:tab/>
        <w:t>1 patriarkátus volt nyugaton: Róma</w:t>
      </w:r>
    </w:p>
    <w:p w14:paraId="0AFF6804" w14:textId="77777777" w:rsidR="00DE5C05" w:rsidRDefault="00DE5C05" w:rsidP="00DE5C05">
      <w:pPr>
        <w:tabs>
          <w:tab w:val="left" w:pos="90"/>
        </w:tabs>
        <w:spacing w:after="0"/>
      </w:pPr>
    </w:p>
    <w:p w14:paraId="1610A3DE" w14:textId="79AB0EF1" w:rsidR="009B7553" w:rsidRDefault="00DE5C05" w:rsidP="00014E91">
      <w:pPr>
        <w:pStyle w:val="Listaszerbekezds"/>
        <w:numPr>
          <w:ilvl w:val="0"/>
          <w:numId w:val="2"/>
        </w:numPr>
        <w:tabs>
          <w:tab w:val="left" w:pos="90"/>
        </w:tabs>
        <w:spacing w:after="0"/>
        <w:ind w:left="450"/>
      </w:pPr>
      <w:r>
        <w:t>A patriarkátusok és vezetőik elvileg egyenlők voltak, azonban Róma (amelynek püspöke Szent Péter utódja)</w:t>
      </w:r>
      <w:r w:rsidR="009B7553">
        <w:t xml:space="preserve"> lassanként megerősödve kiemelkedett, míg Konstantinápoly-Bizánc kivételével, az arabok által elfoglalt keleti patriarkátusok meggyengültek.</w:t>
      </w:r>
    </w:p>
    <w:p w14:paraId="5C2D1755" w14:textId="3E5F359E" w:rsidR="009B7553" w:rsidRDefault="009B7553" w:rsidP="00DE5C05">
      <w:pPr>
        <w:pStyle w:val="Listaszerbekezds"/>
        <w:numPr>
          <w:ilvl w:val="0"/>
          <w:numId w:val="2"/>
        </w:numPr>
        <w:tabs>
          <w:tab w:val="left" w:pos="90"/>
        </w:tabs>
        <w:spacing w:after="0"/>
        <w:ind w:left="450"/>
      </w:pPr>
      <w:r>
        <w:t xml:space="preserve">Róma (latin) és Bizánc (görög) nyelvileg, dogmákban és rítusokban is </w:t>
      </w:r>
      <w:proofErr w:type="spellStart"/>
      <w:r>
        <w:t>távolódni</w:t>
      </w:r>
      <w:proofErr w:type="spellEnd"/>
      <w:r>
        <w:t xml:space="preserve"> kezdtek egymástól. </w:t>
      </w:r>
    </w:p>
    <w:p w14:paraId="5DC2F95A" w14:textId="77777777" w:rsidR="00014E91" w:rsidRDefault="00014E91" w:rsidP="00014E91">
      <w:pPr>
        <w:tabs>
          <w:tab w:val="left" w:pos="90"/>
        </w:tabs>
        <w:spacing w:after="0"/>
      </w:pPr>
    </w:p>
    <w:p w14:paraId="48777744" w14:textId="2BDD617F" w:rsidR="00014E91" w:rsidRDefault="00014E91" w:rsidP="00014E91">
      <w:pPr>
        <w:tabs>
          <w:tab w:val="left" w:pos="90"/>
        </w:tabs>
        <w:spacing w:after="0"/>
      </w:pPr>
      <w:r>
        <w:t xml:space="preserve">A keresztény egyházszakadás hosszú folyamat volt, amely végül 1054-ben következett be: ekkor IX. Leó pápa és </w:t>
      </w:r>
      <w:proofErr w:type="spellStart"/>
      <w:r>
        <w:t>Kerulariosz</w:t>
      </w:r>
      <w:proofErr w:type="spellEnd"/>
      <w:r>
        <w:t xml:space="preserve"> konstantinápolyi pátriárka kölcsönösen kiátkozta egymást. Az egyesítés eszméje a későbbiekben többször (1274, 1439) is megvalósítás küszöbére jutott, de végül – a mai napig – nem történt meg. </w:t>
      </w:r>
    </w:p>
    <w:p w14:paraId="01D4D2C1" w14:textId="77777777" w:rsidR="00AA253C" w:rsidRDefault="00AA253C" w:rsidP="00014E91">
      <w:pPr>
        <w:tabs>
          <w:tab w:val="left" w:pos="90"/>
        </w:tabs>
        <w:spacing w:after="0"/>
      </w:pPr>
    </w:p>
    <w:p w14:paraId="62304C59" w14:textId="613058B4" w:rsidR="00AA253C" w:rsidRDefault="00AA253C" w:rsidP="00F15762">
      <w:pPr>
        <w:tabs>
          <w:tab w:val="left" w:pos="90"/>
        </w:tabs>
        <w:spacing w:after="0"/>
        <w:jc w:val="center"/>
      </w:pPr>
      <w:r>
        <w:t xml:space="preserve">A keleti és </w:t>
      </w:r>
      <w:r w:rsidR="00704F0A">
        <w:t>n</w:t>
      </w:r>
      <w:r>
        <w:t>yugati egyház elkülönülésének tényezői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55"/>
        <w:gridCol w:w="3510"/>
        <w:gridCol w:w="3397"/>
      </w:tblGrid>
      <w:tr w:rsidR="00AA253C" w14:paraId="3C4091FD" w14:textId="77777777" w:rsidTr="00704F0A">
        <w:tc>
          <w:tcPr>
            <w:tcW w:w="2155" w:type="dxa"/>
          </w:tcPr>
          <w:p w14:paraId="55E455A6" w14:textId="77777777" w:rsidR="00AA253C" w:rsidRDefault="00AA253C" w:rsidP="00014E91">
            <w:pPr>
              <w:tabs>
                <w:tab w:val="left" w:pos="90"/>
              </w:tabs>
            </w:pPr>
          </w:p>
        </w:tc>
        <w:tc>
          <w:tcPr>
            <w:tcW w:w="3510" w:type="dxa"/>
            <w:vAlign w:val="center"/>
          </w:tcPr>
          <w:p w14:paraId="33B69DD8" w14:textId="1BE7AED6" w:rsidR="00704F0A" w:rsidRPr="000D50BE" w:rsidRDefault="00AA253C" w:rsidP="00704F7F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 w:rsidRPr="000D50BE">
              <w:rPr>
                <w:b/>
                <w:bCs/>
              </w:rPr>
              <w:t>Nyugat</w:t>
            </w:r>
          </w:p>
        </w:tc>
        <w:tc>
          <w:tcPr>
            <w:tcW w:w="3397" w:type="dxa"/>
            <w:vAlign w:val="center"/>
          </w:tcPr>
          <w:p w14:paraId="28C8CD62" w14:textId="77777777" w:rsidR="00704F0A" w:rsidRPr="000D50BE" w:rsidRDefault="00AA253C" w:rsidP="00317CE9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 w:rsidRPr="000D50BE">
              <w:rPr>
                <w:b/>
                <w:bCs/>
              </w:rPr>
              <w:t>Kelet</w:t>
            </w:r>
            <w:r w:rsidR="00704F0A" w:rsidRPr="000D50BE">
              <w:rPr>
                <w:b/>
                <w:bCs/>
              </w:rPr>
              <w:t xml:space="preserve"> </w:t>
            </w:r>
          </w:p>
          <w:p w14:paraId="7FD22774" w14:textId="6AE33082" w:rsidR="00AA253C" w:rsidRPr="000D50BE" w:rsidRDefault="00704F0A" w:rsidP="00317CE9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 w:rsidRPr="000D50BE">
              <w:rPr>
                <w:b/>
                <w:bCs/>
              </w:rPr>
              <w:t>(Ortodox, görög-keleti, pravoszláv)</w:t>
            </w:r>
          </w:p>
        </w:tc>
      </w:tr>
      <w:tr w:rsidR="00AA253C" w14:paraId="7F26949E" w14:textId="77777777" w:rsidTr="00704F0A">
        <w:tc>
          <w:tcPr>
            <w:tcW w:w="2155" w:type="dxa"/>
            <w:vAlign w:val="center"/>
          </w:tcPr>
          <w:p w14:paraId="142D72B3" w14:textId="4BEED0D1" w:rsidR="00AA253C" w:rsidRPr="000D50BE" w:rsidRDefault="00AA253C" w:rsidP="00317CE9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 w:rsidRPr="000D50BE">
              <w:rPr>
                <w:b/>
                <w:bCs/>
              </w:rPr>
              <w:t>Nyelv</w:t>
            </w:r>
          </w:p>
        </w:tc>
        <w:tc>
          <w:tcPr>
            <w:tcW w:w="3510" w:type="dxa"/>
          </w:tcPr>
          <w:p w14:paraId="2E960410" w14:textId="109909F7" w:rsidR="00AA253C" w:rsidRDefault="00AA253C" w:rsidP="00704F0A">
            <w:pPr>
              <w:tabs>
                <w:tab w:val="left" w:pos="90"/>
              </w:tabs>
              <w:jc w:val="center"/>
            </w:pPr>
            <w:r>
              <w:t>Latin</w:t>
            </w:r>
          </w:p>
        </w:tc>
        <w:tc>
          <w:tcPr>
            <w:tcW w:w="3397" w:type="dxa"/>
          </w:tcPr>
          <w:p w14:paraId="4C2694C8" w14:textId="3F2F6D4A" w:rsidR="00AA253C" w:rsidRDefault="00AA253C" w:rsidP="00704F0A">
            <w:pPr>
              <w:tabs>
                <w:tab w:val="left" w:pos="90"/>
              </w:tabs>
              <w:jc w:val="center"/>
            </w:pPr>
            <w:r>
              <w:t>Görög</w:t>
            </w:r>
          </w:p>
        </w:tc>
      </w:tr>
      <w:tr w:rsidR="00AA253C" w14:paraId="3553A70C" w14:textId="77777777" w:rsidTr="00704F0A">
        <w:tc>
          <w:tcPr>
            <w:tcW w:w="2155" w:type="dxa"/>
            <w:vAlign w:val="center"/>
          </w:tcPr>
          <w:p w14:paraId="06207B0C" w14:textId="39318EFF" w:rsidR="00AA253C" w:rsidRPr="000D50BE" w:rsidRDefault="00AA253C" w:rsidP="00317CE9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 w:rsidRPr="000D50BE">
              <w:rPr>
                <w:b/>
                <w:bCs/>
              </w:rPr>
              <w:t>Papi élet</w:t>
            </w:r>
          </w:p>
        </w:tc>
        <w:tc>
          <w:tcPr>
            <w:tcW w:w="3510" w:type="dxa"/>
          </w:tcPr>
          <w:p w14:paraId="271D2266" w14:textId="4F4BE8B6" w:rsidR="00AA253C" w:rsidRDefault="00AA253C" w:rsidP="00704F0A">
            <w:pPr>
              <w:tabs>
                <w:tab w:val="left" w:pos="90"/>
              </w:tabs>
              <w:jc w:val="center"/>
            </w:pPr>
            <w:r>
              <w:t>Cölibátus</w:t>
            </w:r>
          </w:p>
        </w:tc>
        <w:tc>
          <w:tcPr>
            <w:tcW w:w="3397" w:type="dxa"/>
          </w:tcPr>
          <w:p w14:paraId="23BD6EE2" w14:textId="19091908" w:rsidR="00AA253C" w:rsidRDefault="00AA253C" w:rsidP="00704F0A">
            <w:pPr>
              <w:tabs>
                <w:tab w:val="left" w:pos="90"/>
              </w:tabs>
              <w:jc w:val="center"/>
            </w:pPr>
            <w:r>
              <w:t>A papok házasodhattak</w:t>
            </w:r>
          </w:p>
        </w:tc>
      </w:tr>
      <w:tr w:rsidR="00AA253C" w14:paraId="5D05F565" w14:textId="77777777" w:rsidTr="00704F0A">
        <w:tc>
          <w:tcPr>
            <w:tcW w:w="2155" w:type="dxa"/>
            <w:vAlign w:val="center"/>
          </w:tcPr>
          <w:p w14:paraId="6CD9AC63" w14:textId="282EFD2B" w:rsidR="00AA253C" w:rsidRPr="000D50BE" w:rsidRDefault="00AA253C" w:rsidP="00317CE9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 w:rsidRPr="000D50BE">
              <w:rPr>
                <w:b/>
                <w:bCs/>
              </w:rPr>
              <w:t>Rítusok, szertartások</w:t>
            </w:r>
          </w:p>
        </w:tc>
        <w:tc>
          <w:tcPr>
            <w:tcW w:w="3510" w:type="dxa"/>
          </w:tcPr>
          <w:p w14:paraId="35AF7E6B" w14:textId="77777777" w:rsidR="00AA253C" w:rsidRDefault="00AA253C" w:rsidP="00704F0A">
            <w:pPr>
              <w:pStyle w:val="Listaszerbekezds"/>
              <w:numPr>
                <w:ilvl w:val="0"/>
                <w:numId w:val="3"/>
              </w:numPr>
              <w:ind w:left="249" w:hanging="180"/>
            </w:pPr>
            <w:r>
              <w:t>Az oltár a hívők számára is látható, a szertartás a hívők előtt történik</w:t>
            </w:r>
          </w:p>
          <w:p w14:paraId="75B753AA" w14:textId="0A5D5370" w:rsidR="00AA253C" w:rsidRDefault="00AA253C" w:rsidP="00704F0A">
            <w:pPr>
              <w:pStyle w:val="Listaszerbekezds"/>
              <w:numPr>
                <w:ilvl w:val="0"/>
                <w:numId w:val="3"/>
              </w:numPr>
              <w:ind w:left="249" w:hanging="180"/>
            </w:pPr>
            <w:r>
              <w:t>Úrvacsorán kovásztalan kenyér (ostya) használata</w:t>
            </w:r>
          </w:p>
        </w:tc>
        <w:tc>
          <w:tcPr>
            <w:tcW w:w="3397" w:type="dxa"/>
          </w:tcPr>
          <w:p w14:paraId="4DB44F32" w14:textId="77777777" w:rsidR="00AA253C" w:rsidRDefault="00AA253C" w:rsidP="00704F0A">
            <w:pPr>
              <w:pStyle w:val="Listaszerbekezds"/>
              <w:numPr>
                <w:ilvl w:val="0"/>
                <w:numId w:val="3"/>
              </w:numPr>
              <w:tabs>
                <w:tab w:val="left" w:pos="90"/>
              </w:tabs>
              <w:ind w:left="253" w:hanging="197"/>
            </w:pPr>
            <w:r>
              <w:t>A papok és hívők elkülönülnek, a sekrestyét elzárja a kovász</w:t>
            </w:r>
          </w:p>
          <w:p w14:paraId="15118AC9" w14:textId="7CD6768D" w:rsidR="00AA253C" w:rsidRDefault="00AA253C" w:rsidP="00704F0A">
            <w:pPr>
              <w:pStyle w:val="Listaszerbekezds"/>
              <w:numPr>
                <w:ilvl w:val="0"/>
                <w:numId w:val="3"/>
              </w:numPr>
              <w:tabs>
                <w:tab w:val="left" w:pos="90"/>
              </w:tabs>
              <w:ind w:left="253" w:hanging="197"/>
            </w:pPr>
            <w:r>
              <w:t>Úrvacsorán kovászos kenyér használata</w:t>
            </w:r>
          </w:p>
        </w:tc>
      </w:tr>
      <w:tr w:rsidR="00AA253C" w14:paraId="1479334E" w14:textId="77777777" w:rsidTr="00704F0A">
        <w:tc>
          <w:tcPr>
            <w:tcW w:w="2155" w:type="dxa"/>
            <w:vAlign w:val="center"/>
          </w:tcPr>
          <w:p w14:paraId="4A45C6F0" w14:textId="5C353231" w:rsidR="00AA253C" w:rsidRPr="000D50BE" w:rsidRDefault="00AA253C" w:rsidP="00317CE9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 w:rsidRPr="000D50BE">
              <w:rPr>
                <w:b/>
                <w:bCs/>
              </w:rPr>
              <w:t>Dogmák</w:t>
            </w:r>
          </w:p>
        </w:tc>
        <w:tc>
          <w:tcPr>
            <w:tcW w:w="3510" w:type="dxa"/>
          </w:tcPr>
          <w:p w14:paraId="033DF6F7" w14:textId="77777777" w:rsidR="00AA253C" w:rsidRDefault="00B82F41" w:rsidP="00014E91">
            <w:pPr>
              <w:tabs>
                <w:tab w:val="left" w:pos="90"/>
              </w:tabs>
            </w:pPr>
            <w:r>
              <w:t>A szentképek tisztelete folyamatos</w:t>
            </w:r>
          </w:p>
          <w:p w14:paraId="71EDB8F4" w14:textId="7E0EAFF6" w:rsidR="00B82F41" w:rsidRDefault="00B82F41" w:rsidP="00014E91">
            <w:pPr>
              <w:tabs>
                <w:tab w:val="left" w:pos="90"/>
              </w:tabs>
            </w:pPr>
            <w:r>
              <w:t>Szentháromság: az Atyától és a Fiútól is (</w:t>
            </w:r>
            <w:proofErr w:type="spellStart"/>
            <w:r>
              <w:t>Filique</w:t>
            </w:r>
            <w:proofErr w:type="spellEnd"/>
            <w:r>
              <w:t xml:space="preserve">) származik a szentlélek </w:t>
            </w:r>
          </w:p>
        </w:tc>
        <w:tc>
          <w:tcPr>
            <w:tcW w:w="3397" w:type="dxa"/>
          </w:tcPr>
          <w:p w14:paraId="625D2455" w14:textId="77777777" w:rsidR="00AA253C" w:rsidRDefault="00B82F41" w:rsidP="00014E91">
            <w:pPr>
              <w:tabs>
                <w:tab w:val="left" w:pos="90"/>
              </w:tabs>
            </w:pPr>
            <w:r>
              <w:t>A szentképek tiszteletét a VIII. században a bizánci császár megtiltotta (képrombolás)</w:t>
            </w:r>
          </w:p>
          <w:p w14:paraId="47DD6BB1" w14:textId="16596305" w:rsidR="00B82F41" w:rsidRDefault="009D6469" w:rsidP="00014E91">
            <w:pPr>
              <w:tabs>
                <w:tab w:val="left" w:pos="90"/>
              </w:tabs>
            </w:pPr>
            <w:r>
              <w:t>Szentháromság: Csak az Atyától származik a Szentlélek</w:t>
            </w:r>
          </w:p>
        </w:tc>
      </w:tr>
      <w:tr w:rsidR="00AA253C" w14:paraId="74B1BD81" w14:textId="77777777" w:rsidTr="00704F0A">
        <w:tc>
          <w:tcPr>
            <w:tcW w:w="2155" w:type="dxa"/>
            <w:vAlign w:val="center"/>
          </w:tcPr>
          <w:p w14:paraId="5EF36AC9" w14:textId="655CD439" w:rsidR="00AA253C" w:rsidRPr="000D50BE" w:rsidRDefault="00AA253C" w:rsidP="00317CE9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 w:rsidRPr="000D50BE">
              <w:rPr>
                <w:b/>
                <w:bCs/>
              </w:rPr>
              <w:t>Szokások</w:t>
            </w:r>
          </w:p>
        </w:tc>
        <w:tc>
          <w:tcPr>
            <w:tcW w:w="3510" w:type="dxa"/>
          </w:tcPr>
          <w:p w14:paraId="4DFB96A0" w14:textId="77777777" w:rsidR="00AA253C" w:rsidRDefault="009D6469" w:rsidP="00014E91">
            <w:pPr>
              <w:tabs>
                <w:tab w:val="left" w:pos="90"/>
              </w:tabs>
            </w:pPr>
            <w:r>
              <w:t xml:space="preserve">Kiközösítették azokat, akik három egymás utáni vasárnap nem járultak szentáldozáshoz </w:t>
            </w:r>
          </w:p>
          <w:p w14:paraId="5C2DEFE4" w14:textId="77777777" w:rsidR="009D6469" w:rsidRDefault="009D6469" w:rsidP="00014E91">
            <w:pPr>
              <w:tabs>
                <w:tab w:val="left" w:pos="90"/>
              </w:tabs>
            </w:pPr>
            <w:r>
              <w:t xml:space="preserve">A szerzeteseknek nem voltak rabszolgáik </w:t>
            </w:r>
          </w:p>
          <w:p w14:paraId="3B548E1E" w14:textId="4344663C" w:rsidR="009D6469" w:rsidRDefault="009D6469" w:rsidP="00014E91">
            <w:pPr>
              <w:tabs>
                <w:tab w:val="left" w:pos="90"/>
              </w:tabs>
            </w:pPr>
            <w:r>
              <w:t>Engedélyezték, hogy az özvegyek apácák legyenek</w:t>
            </w:r>
          </w:p>
        </w:tc>
        <w:tc>
          <w:tcPr>
            <w:tcW w:w="3397" w:type="dxa"/>
          </w:tcPr>
          <w:p w14:paraId="610CF324" w14:textId="77777777" w:rsidR="00AA253C" w:rsidRDefault="009D6469" w:rsidP="00014E91">
            <w:pPr>
              <w:tabs>
                <w:tab w:val="left" w:pos="90"/>
              </w:tabs>
            </w:pPr>
            <w:r>
              <w:t>Nem közösítették ki azokat, akik három egymás utáni vasárnap nem járultak szentáldozáshoz</w:t>
            </w:r>
          </w:p>
          <w:p w14:paraId="6C290954" w14:textId="77777777" w:rsidR="009D6469" w:rsidRDefault="009D6469" w:rsidP="00014E91">
            <w:pPr>
              <w:tabs>
                <w:tab w:val="left" w:pos="90"/>
              </w:tabs>
            </w:pPr>
            <w:r>
              <w:t>A szerzeteseknek voltak rabszolgái</w:t>
            </w:r>
          </w:p>
          <w:p w14:paraId="35DCDA5C" w14:textId="5DBD6E4E" w:rsidR="009D6469" w:rsidRDefault="009D6469" w:rsidP="00014E91">
            <w:pPr>
              <w:tabs>
                <w:tab w:val="left" w:pos="90"/>
              </w:tabs>
            </w:pPr>
            <w:r>
              <w:t>Nem engedélyezték, hogy az özvegyek apácák legyenek</w:t>
            </w:r>
          </w:p>
        </w:tc>
      </w:tr>
      <w:tr w:rsidR="00AA253C" w14:paraId="393D693D" w14:textId="77777777" w:rsidTr="00704F0A">
        <w:tc>
          <w:tcPr>
            <w:tcW w:w="2155" w:type="dxa"/>
            <w:vAlign w:val="center"/>
          </w:tcPr>
          <w:p w14:paraId="30091E06" w14:textId="6EAA1286" w:rsidR="00AA253C" w:rsidRPr="000D50BE" w:rsidRDefault="00AA253C" w:rsidP="00317CE9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 w:rsidRPr="000D50BE">
              <w:rPr>
                <w:b/>
                <w:bCs/>
              </w:rPr>
              <w:t>Egyházszervezet</w:t>
            </w:r>
          </w:p>
        </w:tc>
        <w:tc>
          <w:tcPr>
            <w:tcW w:w="3510" w:type="dxa"/>
          </w:tcPr>
          <w:p w14:paraId="68D1AA83" w14:textId="2F4B534D" w:rsidR="00AA253C" w:rsidRDefault="00300759" w:rsidP="00014E91">
            <w:pPr>
              <w:tabs>
                <w:tab w:val="left" w:pos="90"/>
              </w:tabs>
            </w:pPr>
            <w:r>
              <w:t>Rómából a pápa által irányított egyház</w:t>
            </w:r>
          </w:p>
        </w:tc>
        <w:tc>
          <w:tcPr>
            <w:tcW w:w="3397" w:type="dxa"/>
          </w:tcPr>
          <w:p w14:paraId="4E8757BA" w14:textId="3AEF5C59" w:rsidR="00AA253C" w:rsidRDefault="00317CE9" w:rsidP="00014E91">
            <w:pPr>
              <w:tabs>
                <w:tab w:val="left" w:pos="90"/>
              </w:tabs>
            </w:pPr>
            <w:r>
              <w:t>Különálló nemzeti egyházak, saját pátriárkájuk vezetésével</w:t>
            </w:r>
          </w:p>
        </w:tc>
      </w:tr>
    </w:tbl>
    <w:p w14:paraId="49A7BF6E" w14:textId="375F2FA4" w:rsidR="00AA253C" w:rsidRDefault="00AA253C" w:rsidP="00014E91">
      <w:pPr>
        <w:tabs>
          <w:tab w:val="left" w:pos="90"/>
        </w:tabs>
        <w:spacing w:after="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55"/>
        <w:gridCol w:w="3510"/>
        <w:gridCol w:w="3021"/>
      </w:tblGrid>
      <w:tr w:rsidR="002336C8" w14:paraId="209EF33A" w14:textId="77777777" w:rsidTr="000D50BE">
        <w:tc>
          <w:tcPr>
            <w:tcW w:w="2155" w:type="dxa"/>
            <w:vAlign w:val="center"/>
          </w:tcPr>
          <w:p w14:paraId="79BFD416" w14:textId="0EB95EE1" w:rsidR="002336C8" w:rsidRPr="000D50BE" w:rsidRDefault="002336C8" w:rsidP="00437142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 w:rsidRPr="000D50BE">
              <w:rPr>
                <w:b/>
                <w:bCs/>
              </w:rPr>
              <w:lastRenderedPageBreak/>
              <w:t>Világi befolyás</w:t>
            </w:r>
          </w:p>
        </w:tc>
        <w:tc>
          <w:tcPr>
            <w:tcW w:w="3510" w:type="dxa"/>
          </w:tcPr>
          <w:p w14:paraId="4F3854D7" w14:textId="6D81509D" w:rsidR="002336C8" w:rsidRDefault="002336C8" w:rsidP="002336C8">
            <w:pPr>
              <w:tabs>
                <w:tab w:val="left" w:pos="90"/>
              </w:tabs>
            </w:pPr>
            <w:r>
              <w:t>A világi uralkodó (császár) felügyelete alóli szabadulás eszméje és egyben célja is volt a nyugati egyháznak (realizálása az invesztitúraharc)</w:t>
            </w:r>
          </w:p>
        </w:tc>
        <w:tc>
          <w:tcPr>
            <w:tcW w:w="3021" w:type="dxa"/>
          </w:tcPr>
          <w:p w14:paraId="3F1B97E5" w14:textId="663D5270" w:rsidR="002336C8" w:rsidRDefault="00437142" w:rsidP="002336C8">
            <w:pPr>
              <w:tabs>
                <w:tab w:val="left" w:pos="90"/>
              </w:tabs>
            </w:pPr>
            <w:r>
              <w:t>A világi uralkodó (császár) befolyásolása meghatározó</w:t>
            </w:r>
          </w:p>
        </w:tc>
      </w:tr>
      <w:tr w:rsidR="00437142" w14:paraId="6D235271" w14:textId="77777777" w:rsidTr="000D50BE">
        <w:tc>
          <w:tcPr>
            <w:tcW w:w="2155" w:type="dxa"/>
            <w:vAlign w:val="center"/>
          </w:tcPr>
          <w:p w14:paraId="11A7C6F3" w14:textId="071BEB43" w:rsidR="00437142" w:rsidRPr="000D50BE" w:rsidRDefault="00437142" w:rsidP="00F15762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 w:rsidRPr="000D50BE">
              <w:rPr>
                <w:b/>
                <w:bCs/>
              </w:rPr>
              <w:t>Művészet</w:t>
            </w:r>
          </w:p>
        </w:tc>
        <w:tc>
          <w:tcPr>
            <w:tcW w:w="3510" w:type="dxa"/>
          </w:tcPr>
          <w:p w14:paraId="6C882321" w14:textId="122F31D3" w:rsidR="00437142" w:rsidRDefault="00276726" w:rsidP="002336C8">
            <w:pPr>
              <w:tabs>
                <w:tab w:val="left" w:pos="90"/>
              </w:tabs>
            </w:pPr>
            <w:r>
              <w:t>A művészeknek van szabadságuk a témaválasztásban és a megvalósításban</w:t>
            </w:r>
          </w:p>
        </w:tc>
        <w:tc>
          <w:tcPr>
            <w:tcW w:w="3021" w:type="dxa"/>
          </w:tcPr>
          <w:p w14:paraId="3DB89470" w14:textId="161A6984" w:rsidR="00437142" w:rsidRDefault="00276726" w:rsidP="002336C8">
            <w:pPr>
              <w:tabs>
                <w:tab w:val="left" w:pos="90"/>
              </w:tabs>
            </w:pPr>
            <w:r>
              <w:t xml:space="preserve">Mereven szabályozott </w:t>
            </w:r>
            <w:r w:rsidR="00F15762">
              <w:t>technikák és témaválasztások jellemzik (Pl. Krisztust csak egyféleképpen lehetett ábrázolni az ikonokon)</w:t>
            </w:r>
          </w:p>
        </w:tc>
      </w:tr>
    </w:tbl>
    <w:p w14:paraId="7727E436" w14:textId="77777777" w:rsidR="002336C8" w:rsidRDefault="002336C8" w:rsidP="00014E91">
      <w:pPr>
        <w:tabs>
          <w:tab w:val="left" w:pos="90"/>
        </w:tabs>
        <w:spacing w:after="0"/>
      </w:pPr>
    </w:p>
    <w:p w14:paraId="6644E164" w14:textId="77777777" w:rsidR="00704F7F" w:rsidRDefault="00704F7F" w:rsidP="00014E91">
      <w:pPr>
        <w:tabs>
          <w:tab w:val="left" w:pos="90"/>
        </w:tabs>
        <w:spacing w:after="0"/>
      </w:pPr>
    </w:p>
    <w:p w14:paraId="20C8A960" w14:textId="370A9814" w:rsidR="00704F7F" w:rsidRPr="00704F7F" w:rsidRDefault="00704F7F" w:rsidP="00014E91">
      <w:pPr>
        <w:tabs>
          <w:tab w:val="left" w:pos="90"/>
        </w:tabs>
        <w:spacing w:after="0"/>
        <w:rPr>
          <w:b/>
          <w:bCs/>
          <w:u w:val="single"/>
        </w:rPr>
      </w:pPr>
      <w:r w:rsidRPr="00704F7F">
        <w:rPr>
          <w:b/>
          <w:bCs/>
          <w:u w:val="single"/>
        </w:rPr>
        <w:t>Az egyház és az állam kapcsolata:</w:t>
      </w:r>
    </w:p>
    <w:p w14:paraId="7B44EF6C" w14:textId="7B87B8C7" w:rsidR="00F15762" w:rsidRDefault="00F15762" w:rsidP="00014E91">
      <w:pPr>
        <w:tabs>
          <w:tab w:val="left" w:pos="90"/>
        </w:tabs>
        <w:spacing w:after="0"/>
      </w:pPr>
      <w:r>
        <w:t xml:space="preserve">Az egyházi és a világi hatalom a kezdetektől fogva erősen </w:t>
      </w:r>
      <w:proofErr w:type="spellStart"/>
      <w:r>
        <w:t>összekapcsolódott</w:t>
      </w:r>
      <w:proofErr w:type="spellEnd"/>
      <w:r>
        <w:t xml:space="preserve">: </w:t>
      </w:r>
    </w:p>
    <w:p w14:paraId="7497D405" w14:textId="77777777" w:rsidR="00F15762" w:rsidRDefault="00F15762" w:rsidP="00014E91">
      <w:pPr>
        <w:tabs>
          <w:tab w:val="left" w:pos="90"/>
        </w:tabs>
        <w:spacing w:after="0"/>
      </w:pPr>
    </w:p>
    <w:p w14:paraId="4482D0D0" w14:textId="197062E7" w:rsidR="00F15762" w:rsidRDefault="00F15762" w:rsidP="00014E91">
      <w:pPr>
        <w:tabs>
          <w:tab w:val="left" w:pos="90"/>
        </w:tabs>
        <w:spacing w:after="0"/>
      </w:pPr>
      <w:r>
        <w:t xml:space="preserve">Nagy Constantinus </w:t>
      </w:r>
      <w:r w:rsidR="00B15ADD">
        <w:t xml:space="preserve">római császár „védőszárnyai” alatt bontakozott ki a keresztény egyház kiépítése. </w:t>
      </w:r>
    </w:p>
    <w:sectPr w:rsidR="00F15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62E61"/>
    <w:multiLevelType w:val="hybridMultilevel"/>
    <w:tmpl w:val="D90880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8678E"/>
    <w:multiLevelType w:val="hybridMultilevel"/>
    <w:tmpl w:val="C38446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402"/>
    <w:multiLevelType w:val="hybridMultilevel"/>
    <w:tmpl w:val="C7081C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014651">
    <w:abstractNumId w:val="0"/>
  </w:num>
  <w:num w:numId="2" w16cid:durableId="1523056730">
    <w:abstractNumId w:val="2"/>
  </w:num>
  <w:num w:numId="3" w16cid:durableId="1031223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6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F3"/>
    <w:rsid w:val="00014E91"/>
    <w:rsid w:val="00077BA3"/>
    <w:rsid w:val="000D50BE"/>
    <w:rsid w:val="002336C8"/>
    <w:rsid w:val="00264277"/>
    <w:rsid w:val="00276726"/>
    <w:rsid w:val="00300759"/>
    <w:rsid w:val="00317CE9"/>
    <w:rsid w:val="00393B75"/>
    <w:rsid w:val="00437142"/>
    <w:rsid w:val="005F42DE"/>
    <w:rsid w:val="00704F0A"/>
    <w:rsid w:val="00704F7F"/>
    <w:rsid w:val="00846D97"/>
    <w:rsid w:val="008A58FF"/>
    <w:rsid w:val="009B7553"/>
    <w:rsid w:val="009D6469"/>
    <w:rsid w:val="00AA253C"/>
    <w:rsid w:val="00B15ADD"/>
    <w:rsid w:val="00B82F41"/>
    <w:rsid w:val="00DE5C05"/>
    <w:rsid w:val="00DF1CD5"/>
    <w:rsid w:val="00ED2FF3"/>
    <w:rsid w:val="00F1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4448"/>
  <w15:chartTrackingRefBased/>
  <w15:docId w15:val="{7B96B5CF-86C3-48FB-85DF-DAEBD38D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D2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D2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D2F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D2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D2F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D2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D2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D2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D2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D2F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D2F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D2F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D2FF3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D2FF3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D2FF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D2FF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D2FF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D2FF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D2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D2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D2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D2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D2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D2FF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D2FF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D2FF3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D2F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D2FF3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D2FF3"/>
    <w:rPr>
      <w:b/>
      <w:bCs/>
      <w:smallCaps/>
      <w:color w:val="2F5496" w:themeColor="accent1" w:themeShade="BF"/>
      <w:spacing w:val="5"/>
    </w:rPr>
  </w:style>
  <w:style w:type="table" w:styleId="Rcsostblzat">
    <w:name w:val="Table Grid"/>
    <w:basedOn w:val="Normltblzat"/>
    <w:uiPriority w:val="39"/>
    <w:rsid w:val="00AA2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5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380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16</cp:revision>
  <dcterms:created xsi:type="dcterms:W3CDTF">2024-12-05T22:35:00Z</dcterms:created>
  <dcterms:modified xsi:type="dcterms:W3CDTF">2024-12-06T12:09:00Z</dcterms:modified>
</cp:coreProperties>
</file>