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proofErr w:type="spellStart"/>
      <w:r>
        <w:t>Romanika</w:t>
      </w:r>
      <w:proofErr w:type="spellEnd"/>
      <w:r>
        <w:t xml:space="preserve"> = római (romain)</w:t>
      </w:r>
    </w:p>
    <w:p w14:paraId="0DBD6B6A" w14:textId="2B3A429D" w:rsidR="00F406BC" w:rsidRDefault="00F406BC" w:rsidP="00F406BC">
      <w:pPr>
        <w:spacing w:after="0"/>
      </w:pPr>
      <w:r>
        <w:t>Időbeli kiterjedése: XI-XIII. század</w:t>
      </w:r>
    </w:p>
    <w:p w14:paraId="1CA07892" w14:textId="7F9C5372" w:rsidR="00F406BC" w:rsidRDefault="00F406BC" w:rsidP="00F406BC">
      <w:pPr>
        <w:spacing w:after="0"/>
      </w:pPr>
      <w:r>
        <w:t>Franciaország, Németország, Itália területén alakult ki, innen terjedt el Anglia és Közép-Európa felé (Cseh-, Lengyel- és Magyarország)</w:t>
      </w:r>
    </w:p>
    <w:p w14:paraId="2D21086A" w14:textId="3B32CF64" w:rsidR="00F406BC" w:rsidRDefault="00F406BC" w:rsidP="00F406BC">
      <w:pPr>
        <w:spacing w:after="0"/>
      </w:pPr>
      <w: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aszerbekezds"/>
        <w:numPr>
          <w:ilvl w:val="0"/>
          <w:numId w:val="2"/>
        </w:numPr>
        <w:spacing w:after="0"/>
      </w:pPr>
      <w:r>
        <w:t xml:space="preserve">Építészet: </w:t>
      </w:r>
    </w:p>
    <w:p w14:paraId="3C41CB6D" w14:textId="315A8EA6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egyházi célra: püspöki székesegyházak, plébániatemplomok, kolostorok, erődtemplomok </w:t>
      </w:r>
    </w:p>
    <w:p w14:paraId="1C8C418D" w14:textId="0727FF6D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stílusjegyek: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>egyhajós, háromhajós (oldalhajókkal) és kereszthajós templomok – római kori bazilikák mintájára épültek</w:t>
      </w:r>
    </w:p>
    <w:p w14:paraId="710E2DFB" w14:textId="13C7CED2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példák: pisai dóm, </w:t>
      </w:r>
      <w:proofErr w:type="spellStart"/>
      <w:r>
        <w:t>speyeri</w:t>
      </w:r>
      <w:proofErr w:type="spellEnd"/>
      <w:r>
        <w:t xml:space="preserve"> dóm, </w:t>
      </w:r>
      <w:proofErr w:type="spellStart"/>
      <w:r>
        <w:t>wormsi</w:t>
      </w:r>
      <w:proofErr w:type="spellEnd"/>
      <w:r>
        <w:t xml:space="preserve"> dóm</w:t>
      </w:r>
    </w:p>
    <w:p w14:paraId="48AACA0D" w14:textId="1246D2A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Magyarországon: jáki, </w:t>
      </w:r>
      <w:proofErr w:type="spellStart"/>
      <w:r>
        <w:t>lébényi</w:t>
      </w:r>
      <w:proofErr w:type="spellEnd"/>
      <w:r>
        <w:t xml:space="preserve">, </w:t>
      </w:r>
      <w:proofErr w:type="spellStart"/>
      <w:r>
        <w:t>egregyi</w:t>
      </w:r>
      <w:proofErr w:type="spellEnd"/>
      <w:r>
        <w:t xml:space="preserve"> templomok</w:t>
      </w:r>
    </w:p>
    <w:p w14:paraId="62A8661B" w14:textId="77777777" w:rsidR="00F406BC" w:rsidRDefault="00F406BC" w:rsidP="00F406BC">
      <w:pPr>
        <w:pStyle w:val="Listaszerbekezds"/>
        <w:spacing w:after="0"/>
        <w:ind w:left="1620"/>
      </w:pPr>
    </w:p>
    <w:p w14:paraId="12F3FDA5" w14:textId="08D46FE3" w:rsidR="00F406BC" w:rsidRDefault="00F406BC" w:rsidP="00F406BC">
      <w:pPr>
        <w:pStyle w:val="Listaszerbekezds"/>
        <w:numPr>
          <w:ilvl w:val="0"/>
          <w:numId w:val="2"/>
        </w:numPr>
        <w:spacing w:after="0"/>
      </w:pPr>
      <w:r>
        <w:t xml:space="preserve">Szobrászat: </w:t>
      </w:r>
    </w:p>
    <w:p w14:paraId="0095CB47" w14:textId="59634FE9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az épületek tartozékai a szobrok (kiegészítő, narratív, díszitő szerep) </w:t>
      </w:r>
    </w:p>
    <w:p w14:paraId="07083D41" w14:textId="43E96F8C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aszerbekezds"/>
        <w:numPr>
          <w:ilvl w:val="1"/>
          <w:numId w:val="2"/>
        </w:numPr>
        <w:spacing w:after="0"/>
      </w:pPr>
      <w:r>
        <w:t xml:space="preserve">példa Magyarországon: jáki templom főkapuja (XIII. század), kalocsai királyfej (XIII. század) </w:t>
      </w:r>
    </w:p>
    <w:p w14:paraId="26EB0B1E" w14:textId="77777777" w:rsidR="00D75A0A" w:rsidRDefault="00D75A0A" w:rsidP="00D75A0A">
      <w:pPr>
        <w:pStyle w:val="Listaszerbekezds"/>
        <w:spacing w:after="0"/>
        <w:ind w:left="1620"/>
      </w:pPr>
    </w:p>
    <w:p w14:paraId="4B242AEB" w14:textId="67A7BB98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>Festészet:</w:t>
      </w:r>
    </w:p>
    <w:p w14:paraId="7FB84952" w14:textId="6BA3FCE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az építészetnek alárendelve – falfestészet (freskó) </w:t>
      </w:r>
    </w:p>
    <w:p w14:paraId="457C89FB" w14:textId="0143EE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példa Magyarországon: veszprémi Gizella kápolna és a feldebrői altemplom freskói</w:t>
      </w:r>
    </w:p>
    <w:p w14:paraId="0465289E" w14:textId="77777777" w:rsidR="00D75A0A" w:rsidRDefault="00D75A0A" w:rsidP="00D75A0A">
      <w:pPr>
        <w:pStyle w:val="Listaszerbekezds"/>
        <w:spacing w:after="0"/>
        <w:ind w:left="1620"/>
      </w:pPr>
    </w:p>
    <w:p w14:paraId="3BD59726" w14:textId="2162E127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 xml:space="preserve">Textilművészet: </w:t>
      </w:r>
      <w:proofErr w:type="spellStart"/>
      <w:r>
        <w:t>bayeux</w:t>
      </w:r>
      <w:proofErr w:type="spellEnd"/>
      <w:r>
        <w:t>-i kárpit (1073 – 83), magyar koronázási palást (1031)</w:t>
      </w:r>
    </w:p>
    <w:p w14:paraId="66485F10" w14:textId="77777777" w:rsidR="00D75A0A" w:rsidRDefault="00D75A0A" w:rsidP="00D75A0A">
      <w:pPr>
        <w:pStyle w:val="Listaszerbekezds"/>
        <w:spacing w:after="0"/>
        <w:ind w:left="900"/>
      </w:pPr>
    </w:p>
    <w:p w14:paraId="490CBF0D" w14:textId="4C4B3B1A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>Irodalom</w:t>
      </w:r>
    </w:p>
    <w:p w14:paraId="615B8CE2" w14:textId="67A6200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lovagénekek (Roland-ének, Nibelung-ének) </w:t>
      </w:r>
    </w:p>
    <w:p w14:paraId="78E7D9A0" w14:textId="368F83B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himnuszok, imádságok (Halotti Beszéd, Ómagyar Máriasiralom) </w:t>
      </w:r>
    </w:p>
    <w:p w14:paraId="29189A0B" w14:textId="77777777" w:rsidR="00D75A0A" w:rsidRDefault="00D75A0A" w:rsidP="00D75A0A">
      <w:pPr>
        <w:pStyle w:val="Listaszerbekezds"/>
        <w:spacing w:after="0"/>
        <w:ind w:left="1620"/>
      </w:pPr>
    </w:p>
    <w:p w14:paraId="1BF3A355" w14:textId="0EFC05AB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>
        <w:t xml:space="preserve">Zene </w:t>
      </w:r>
    </w:p>
    <w:p w14:paraId="3A5CABF1" w14:textId="0D420861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polifónia megjelenése, </w:t>
      </w:r>
      <w:proofErr w:type="spellStart"/>
      <w:r>
        <w:t>Arezzoi</w:t>
      </w:r>
      <w:proofErr w:type="spellEnd"/>
      <w:r>
        <w:t xml:space="preserve"> Guido: vonalrendszerbe helyezett hangjegyírás</w:t>
      </w:r>
    </w:p>
    <w:p w14:paraId="233BE98C" w14:textId="3FED43D2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misztériumjátékok (</w:t>
      </w:r>
      <w:proofErr w:type="spellStart"/>
      <w:r>
        <w:t>áhitat</w:t>
      </w:r>
      <w:proofErr w:type="spellEnd"/>
      <w:r>
        <w:t xml:space="preserve"> és vaskos népi humor) </w:t>
      </w:r>
    </w:p>
    <w:p w14:paraId="60D77B1E" w14:textId="7004876E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Default="00D75A0A" w:rsidP="00D75A0A">
      <w:pPr>
        <w:spacing w:after="0"/>
      </w:pPr>
      <w: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az építészettől elválik a szobrászat és a festészet – önálló szobrok és képek </w:t>
      </w:r>
    </w:p>
    <w:p w14:paraId="0CBD430B" w14:textId="6A6CFC71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szimbolikus, de egyben realisztikus ábrázolás </w:t>
      </w:r>
    </w:p>
    <w:p w14:paraId="6F56468F" w14:textId="01C52728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életszeretet és vallásosság – fény a templomokban, égbenyúló falak </w:t>
      </w:r>
    </w:p>
    <w:p w14:paraId="40AC94FB" w14:textId="6B1F1D57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proofErr w:type="spellStart"/>
      <w:r>
        <w:t>Albertus</w:t>
      </w:r>
      <w:proofErr w:type="spellEnd"/>
      <w:r>
        <w:t xml:space="preserve"> Magnus és </w:t>
      </w:r>
      <w:proofErr w:type="spellStart"/>
      <w:r>
        <w:t>Eckhardt</w:t>
      </w:r>
      <w:proofErr w:type="spellEnd"/>
      <w:r>
        <w:t xml:space="preserve">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Default="00231CCC" w:rsidP="00231CCC">
      <w:pPr>
        <w:spacing w:after="0"/>
      </w:pPr>
      <w:r>
        <w:t xml:space="preserve">Stílusjegyek és példák az egyes művészi ágakban: </w:t>
      </w:r>
    </w:p>
    <w:p w14:paraId="61331D6A" w14:textId="4FA0645C" w:rsidR="00D75A0A" w:rsidRDefault="00231CCC" w:rsidP="00231CCC">
      <w:pPr>
        <w:pStyle w:val="Listaszerbekezds"/>
        <w:numPr>
          <w:ilvl w:val="0"/>
          <w:numId w:val="4"/>
        </w:numPr>
        <w:spacing w:after="0"/>
      </w:pPr>
      <w:r>
        <w:t xml:space="preserve">Építészet: </w:t>
      </w:r>
    </w:p>
    <w:p w14:paraId="71F51FCE" w14:textId="6B88FB87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katedrálisok (székesegyház), várak, templomok, polgárházak, árucsarnokok, korházak, céhházak</w:t>
      </w:r>
    </w:p>
    <w:p w14:paraId="34BEFE93" w14:textId="4708D24E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stílusjegyek: </w:t>
      </w:r>
    </w:p>
    <w:p w14:paraId="10873BF8" w14:textId="03A8C7CB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nagy, </w:t>
      </w:r>
      <w:proofErr w:type="spellStart"/>
      <w:r>
        <w:t>mérműves</w:t>
      </w:r>
      <w:proofErr w:type="spellEnd"/>
      <w:r>
        <w:t xml:space="preserve"> (kőrácsos), ólomüveg ablakok</w:t>
      </w:r>
    </w:p>
    <w:p w14:paraId="52D7693E" w14:textId="0F08C61E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támpillér, támív, a támíveken a tornyok sarkain kisebb, gazdagon díszitett úgynevezett fiatornyok</w:t>
      </w:r>
    </w:p>
    <w:p w14:paraId="7E6AC4F8" w14:textId="06A980A9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csúcsíves boltozatok (csillag, háló, legyező alakú) </w:t>
      </w:r>
    </w:p>
    <w:p w14:paraId="7E074D32" w14:textId="1F7218AC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bélletes kapuzat</w:t>
      </w:r>
    </w:p>
    <w:p w14:paraId="0542DB74" w14:textId="4F27A767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kapuk és ajtók fölött csúcsív </w:t>
      </w:r>
    </w:p>
    <w:p w14:paraId="2BFF60E4" w14:textId="0F5217FD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szamárhátív</w:t>
      </w:r>
    </w:p>
    <w:p w14:paraId="4CEDCC1C" w14:textId="6BC266EF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rémísztő figurákat formázó vízköpők </w:t>
      </w:r>
    </w:p>
    <w:p w14:paraId="74C8AC69" w14:textId="03798868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példák: </w:t>
      </w:r>
      <w:proofErr w:type="spellStart"/>
      <w:r>
        <w:t>Notre</w:t>
      </w:r>
      <w:proofErr w:type="spellEnd"/>
      <w:r>
        <w:t xml:space="preserve"> Dame de Paris, chartres-i, amiens-i, reimsi székesegyházak, milánói dóm, velencei Dózse-palota, kölni székesegyház, </w:t>
      </w:r>
      <w:proofErr w:type="spellStart"/>
      <w:r>
        <w:t>Stephankskirchte</w:t>
      </w:r>
      <w:proofErr w:type="spellEnd"/>
      <w:r>
        <w:t xml:space="preserve"> (Bécs), prágai Szent Vitus székesegyház</w:t>
      </w:r>
    </w:p>
    <w:p w14:paraId="5DF1D3F8" w14:textId="53E30F2B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példa Magyarországon: Mátyás-templom (XIII. század), kassai dóm, visegrádi királyi vár és palota, soproni középkori zsinagóga, Vajdahunyad vára </w:t>
      </w:r>
    </w:p>
    <w:p w14:paraId="5C0882BE" w14:textId="77777777" w:rsidR="00231CCC" w:rsidRDefault="00231CCC" w:rsidP="00231CCC">
      <w:pPr>
        <w:pStyle w:val="Listaszerbekezds"/>
        <w:spacing w:after="0"/>
        <w:ind w:left="1440"/>
      </w:pPr>
    </w:p>
    <w:p w14:paraId="013488AB" w14:textId="0A54D908" w:rsidR="00231CCC" w:rsidRDefault="00231CCC" w:rsidP="00231CCC">
      <w:pPr>
        <w:pStyle w:val="Listaszerbekezds"/>
        <w:numPr>
          <w:ilvl w:val="0"/>
          <w:numId w:val="4"/>
        </w:numPr>
        <w:spacing w:after="0"/>
      </w:pPr>
      <w:r>
        <w:t xml:space="preserve">Szobrászat: </w:t>
      </w:r>
    </w:p>
    <w:p w14:paraId="29EB3013" w14:textId="1EA079D3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12466B51" w14:textId="763A5E62" w:rsidR="00231CCC" w:rsidRDefault="00231CCC" w:rsidP="004C1054">
      <w:pPr>
        <w:pStyle w:val="Listaszerbekezds"/>
        <w:numPr>
          <w:ilvl w:val="1"/>
          <w:numId w:val="4"/>
        </w:numPr>
        <w:spacing w:after="0"/>
      </w:pPr>
      <w:r>
        <w:t xml:space="preserve">névről ismert művészek </w:t>
      </w:r>
    </w:p>
    <w:p w14:paraId="1AE46ED0" w14:textId="5328015E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példák Magyarországon: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Default="004C1054" w:rsidP="004C1054">
      <w:pPr>
        <w:pStyle w:val="Listaszerbekezds"/>
        <w:spacing w:after="0"/>
        <w:ind w:left="1440"/>
      </w:pPr>
    </w:p>
    <w:p w14:paraId="0422C887" w14:textId="321AAD87" w:rsidR="004C1054" w:rsidRDefault="004C1054" w:rsidP="004C1054">
      <w:pPr>
        <w:pStyle w:val="Listaszerbekezds"/>
        <w:numPr>
          <w:ilvl w:val="0"/>
          <w:numId w:val="4"/>
        </w:numPr>
        <w:spacing w:after="0"/>
      </w:pPr>
      <w:r>
        <w:t>Festészet, grafika</w:t>
      </w:r>
    </w:p>
    <w:p w14:paraId="7640FD89" w14:textId="6D14E82A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lineáris gótika az Alpoktól északra, egyszínű háttér</w:t>
      </w:r>
    </w:p>
    <w:p w14:paraId="7A14B1B3" w14:textId="398513AE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Itáliában bizánci hatások is, természetábrázolás</w:t>
      </w:r>
    </w:p>
    <w:p w14:paraId="5692F4FF" w14:textId="3DB0E7F0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freskó</w:t>
      </w:r>
    </w:p>
    <w:p w14:paraId="1E966656" w14:textId="0546924F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táblakép, kultuszkép, miniatúra, szárnyasoltárok, kódexek, mozaik </w:t>
      </w:r>
    </w:p>
    <w:p w14:paraId="45196398" w14:textId="09B534DC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üvegfestészet</w:t>
      </w:r>
    </w:p>
    <w:p w14:paraId="744C29E4" w14:textId="04C9CE6D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példák: Giotto de </w:t>
      </w:r>
      <w:proofErr w:type="spellStart"/>
      <w:r>
        <w:t>Bondone</w:t>
      </w:r>
      <w:proofErr w:type="spellEnd"/>
      <w:r>
        <w:t xml:space="preserve">: Szent Ferenc-templom freskói (Assisi), </w:t>
      </w:r>
      <w:proofErr w:type="spellStart"/>
      <w:r>
        <w:t>Limbourg</w:t>
      </w:r>
      <w:proofErr w:type="spellEnd"/>
      <w:r>
        <w:t xml:space="preserve"> testvérek: Berry herceg lakomája, </w:t>
      </w:r>
      <w:proofErr w:type="spellStart"/>
      <w:r>
        <w:t>Hórás</w:t>
      </w:r>
      <w:proofErr w:type="spellEnd"/>
      <w:r>
        <w:t>-könyv, Hubert és Jan van Eyck: Genti oltár</w:t>
      </w:r>
    </w:p>
    <w:p w14:paraId="36AB5FDE" w14:textId="58CD517A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Magyarországi példák: Képes Krónika (miniatúrák, iniciálék), Kolozsvári Tamás: Garamszentbenedeki oltár, M. S. Mester: Mária és Erzsébet találkozása</w:t>
      </w:r>
    </w:p>
    <w:p w14:paraId="6947BBA8" w14:textId="77777777" w:rsidR="004C1054" w:rsidRDefault="004C1054" w:rsidP="004C1054">
      <w:pPr>
        <w:spacing w:after="0"/>
        <w:ind w:left="1080"/>
      </w:pPr>
    </w:p>
    <w:p w14:paraId="1CFA837E" w14:textId="77777777" w:rsidR="004C1054" w:rsidRDefault="004C1054" w:rsidP="004C1054">
      <w:pPr>
        <w:spacing w:after="0"/>
        <w:ind w:left="1080"/>
      </w:pPr>
    </w:p>
    <w:p w14:paraId="5235E4A1" w14:textId="2610DF41" w:rsidR="004C1054" w:rsidRDefault="004C1054" w:rsidP="004C1054">
      <w:pPr>
        <w:pStyle w:val="Listaszerbekezds"/>
        <w:numPr>
          <w:ilvl w:val="0"/>
          <w:numId w:val="4"/>
        </w:numPr>
        <w:spacing w:after="0"/>
      </w:pPr>
      <w:r>
        <w:lastRenderedPageBreak/>
        <w:t>Irodalom:</w:t>
      </w:r>
    </w:p>
    <w:p w14:paraId="02EA7BFD" w14:textId="515384ED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trubadúrköltészet, </w:t>
      </w:r>
      <w:proofErr w:type="spellStart"/>
      <w:r>
        <w:t>Minnesang</w:t>
      </w:r>
      <w:proofErr w:type="spellEnd"/>
      <w:r>
        <w:t xml:space="preserve"> – Walter von der </w:t>
      </w:r>
      <w:proofErr w:type="spellStart"/>
      <w:r>
        <w:t>Vogelweide</w:t>
      </w:r>
      <w:proofErr w:type="spellEnd"/>
    </w:p>
    <w:p w14:paraId="2763A3B3" w14:textId="72DF8582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Dante (Isteni színjáték), Villon (Nagy Testamentum)</w:t>
      </w:r>
    </w:p>
    <w:p w14:paraId="38D3F59B" w14:textId="72AE5B74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misztériumjátékok, moralitás </w:t>
      </w:r>
      <w:r w:rsidR="00E97416">
        <w:t xml:space="preserve">(pl. az Akárki című erkölcsi példázat) </w:t>
      </w:r>
    </w:p>
    <w:p w14:paraId="1E2EEC76" w14:textId="77777777" w:rsidR="00E97416" w:rsidRDefault="00E97416" w:rsidP="00E97416">
      <w:pPr>
        <w:spacing w:after="0"/>
      </w:pPr>
    </w:p>
    <w:p w14:paraId="7CE81D18" w14:textId="50661D97" w:rsidR="00E97416" w:rsidRPr="00FF35FD" w:rsidRDefault="00E97416" w:rsidP="00E97416">
      <w:pPr>
        <w:spacing w:after="0"/>
        <w:rPr>
          <w:b/>
          <w:bCs/>
          <w:u w:val="single"/>
        </w:rPr>
      </w:pPr>
      <w:r w:rsidRPr="00FF35FD">
        <w:rPr>
          <w:b/>
          <w:bCs/>
          <w:u w:val="single"/>
        </w:rPr>
        <w:t xml:space="preserve">Humanizmus: </w:t>
      </w:r>
    </w:p>
    <w:p w14:paraId="62468F20" w14:textId="4C303616" w:rsidR="00E97416" w:rsidRDefault="00E97416" w:rsidP="00E97416">
      <w:pPr>
        <w:spacing w:after="0"/>
      </w:pPr>
      <w:r>
        <w:t>A fogalom a cicerói „</w:t>
      </w:r>
      <w:proofErr w:type="spellStart"/>
      <w:r>
        <w:t>studia</w:t>
      </w:r>
      <w:proofErr w:type="spellEnd"/>
      <w:r>
        <w:t xml:space="preserve"> </w:t>
      </w:r>
      <w:proofErr w:type="spellStart"/>
      <w:r>
        <w:t>humanitatis</w:t>
      </w:r>
      <w:proofErr w:type="spellEnd"/>
      <w:r>
        <w:t>” (humán – az emberre vonatkozó – tudományok) és a „</w:t>
      </w:r>
      <w:proofErr w:type="spellStart"/>
      <w:r>
        <w:t>humanae</w:t>
      </w:r>
      <w:proofErr w:type="spellEnd"/>
      <w:r>
        <w:t xml:space="preserve"> </w:t>
      </w:r>
      <w:proofErr w:type="spellStart"/>
      <w:proofErr w:type="gramStart"/>
      <w:r>
        <w:t>letterae</w:t>
      </w:r>
      <w:proofErr w:type="spellEnd"/>
      <w:r>
        <w:t>”-</w:t>
      </w:r>
      <w:proofErr w:type="spellStart"/>
      <w:proofErr w:type="gramEnd"/>
      <w:r>
        <w:t>ból</w:t>
      </w:r>
      <w:proofErr w:type="spellEnd"/>
      <w:r>
        <w:t xml:space="preserve"> (az emberiségért való fáradozások) vezethető le</w:t>
      </w:r>
    </w:p>
    <w:p w14:paraId="07F602ED" w14:textId="77777777" w:rsidR="00E97416" w:rsidRDefault="00E97416" w:rsidP="00E97416">
      <w:pPr>
        <w:spacing w:after="0"/>
      </w:pPr>
    </w:p>
    <w:p w14:paraId="2F0D985B" w14:textId="66D4398C" w:rsidR="00E97416" w:rsidRDefault="00E97416" w:rsidP="00E97416">
      <w:pPr>
        <w:spacing w:after="0"/>
      </w:pPr>
      <w:r>
        <w:t xml:space="preserve">Előszőr a merev skolasztikus hagyománnyal szemben kialakított, az antik szerzők iránt megnyilvánuló tudós érdeklődés megnevezésére használtak. </w:t>
      </w:r>
    </w:p>
    <w:p w14:paraId="6EDB9B79" w14:textId="77777777" w:rsidR="00E97416" w:rsidRDefault="00E97416" w:rsidP="00E97416">
      <w:pPr>
        <w:spacing w:after="0"/>
      </w:pPr>
    </w:p>
    <w:p w14:paraId="60873A79" w14:textId="7EDC2BFA" w:rsidR="00E97416" w:rsidRDefault="00E97416" w:rsidP="00E97416">
      <w:pPr>
        <w:spacing w:after="0"/>
      </w:pPr>
      <w:r>
        <w:t xml:space="preserve">Ideálja a „homo </w:t>
      </w:r>
      <w:proofErr w:type="spellStart"/>
      <w:r>
        <w:t>universale</w:t>
      </w:r>
      <w:proofErr w:type="spellEnd"/>
      <w:r>
        <w:t>”, azaz a sokoldalú</w:t>
      </w:r>
      <w:r w:rsidR="00B13274">
        <w:t xml:space="preserve">, művelt ember, aki a világ minden jelensége iránt érdeklődik </w:t>
      </w:r>
    </w:p>
    <w:p w14:paraId="353C7AD8" w14:textId="77777777" w:rsidR="00B13274" w:rsidRDefault="00B13274" w:rsidP="00E97416">
      <w:pPr>
        <w:spacing w:after="0"/>
      </w:pPr>
    </w:p>
    <w:p w14:paraId="2516DBE8" w14:textId="0499A33A" w:rsidR="00B13274" w:rsidRDefault="00B13274" w:rsidP="00E97416">
      <w:pPr>
        <w:spacing w:after="0"/>
      </w:pPr>
      <w:r>
        <w:t xml:space="preserve">Az antik eszmények újjászületése jellemezte </w:t>
      </w:r>
    </w:p>
    <w:p w14:paraId="433058A1" w14:textId="77777777" w:rsidR="00B13274" w:rsidRDefault="00B13274" w:rsidP="00E97416">
      <w:pPr>
        <w:spacing w:after="0"/>
      </w:pPr>
    </w:p>
    <w:p w14:paraId="3DC435E6" w14:textId="692A679E" w:rsidR="00B13274" w:rsidRDefault="00B13274" w:rsidP="00B13274">
      <w:pPr>
        <w:spacing w:after="0"/>
      </w:pPr>
      <w:r>
        <w:t>A humanizmus mozgalma alapvetően irodalmi jellegű volt, ezért a nyelv (grammatika, retorika, dialektika) vált a gondolkodás központi témájává</w:t>
      </w:r>
    </w:p>
    <w:p w14:paraId="1E392EA2" w14:textId="77777777" w:rsidR="00B13274" w:rsidRDefault="00B13274" w:rsidP="00B13274">
      <w:pPr>
        <w:spacing w:after="0"/>
      </w:pPr>
    </w:p>
    <w:p w14:paraId="3C8749C3" w14:textId="123BE01E" w:rsidR="00B13274" w:rsidRDefault="00B13274" w:rsidP="00B13274">
      <w:pPr>
        <w:spacing w:after="0"/>
      </w:pPr>
      <w:r>
        <w:t xml:space="preserve">A humanizmus Itáliában kezdődött a XIV. században, innen terjedt el a kontinensen a XV-XVI században </w:t>
      </w:r>
    </w:p>
    <w:p w14:paraId="24E6CA81" w14:textId="77777777" w:rsidR="00B13274" w:rsidRDefault="00B13274" w:rsidP="00B13274">
      <w:pPr>
        <w:spacing w:after="0"/>
      </w:pPr>
    </w:p>
    <w:p w14:paraId="4B34A6E7" w14:textId="2A226311" w:rsidR="00B13274" w:rsidRDefault="00B13274" w:rsidP="00B13274">
      <w:pPr>
        <w:spacing w:after="0"/>
      </w:pPr>
      <w:r>
        <w:t xml:space="preserve">Jeles képviselői: Petrarca, Rotterdami Erasmus, </w:t>
      </w:r>
      <w:proofErr w:type="spellStart"/>
      <w:r>
        <w:t>Melanchton</w:t>
      </w:r>
      <w:proofErr w:type="spellEnd"/>
      <w:r>
        <w:t xml:space="preserve">, Thomas Morus. </w:t>
      </w:r>
    </w:p>
    <w:sectPr w:rsidR="00B13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3"/>
  </w:num>
  <w:num w:numId="2" w16cid:durableId="357977061">
    <w:abstractNumId w:val="2"/>
  </w:num>
  <w:num w:numId="3" w16cid:durableId="1105543316">
    <w:abstractNumId w:val="0"/>
  </w:num>
  <w:num w:numId="4" w16cid:durableId="115056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14AD4"/>
    <w:rsid w:val="00231CCC"/>
    <w:rsid w:val="00393B75"/>
    <w:rsid w:val="004834E3"/>
    <w:rsid w:val="004C1054"/>
    <w:rsid w:val="006D1646"/>
    <w:rsid w:val="00B13274"/>
    <w:rsid w:val="00BC66F1"/>
    <w:rsid w:val="00D75A0A"/>
    <w:rsid w:val="00E97416"/>
    <w:rsid w:val="00F406BC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A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A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AD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AD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2024-12-15T22:33:00Z</dcterms:created>
  <dcterms:modified xsi:type="dcterms:W3CDTF">2024-12-16T20:33:00Z</dcterms:modified>
</cp:coreProperties>
</file>