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D4D0" w14:textId="7891E5D8" w:rsidR="0051501D" w:rsidRDefault="0051501D" w:rsidP="0051501D">
      <w:pPr>
        <w:tabs>
          <w:tab w:val="left" w:pos="90"/>
        </w:tabs>
        <w:spacing w:after="0"/>
        <w:jc w:val="center"/>
      </w:pPr>
      <w:r>
        <w:t xml:space="preserve">A keleti és nyugati egyház </w:t>
      </w:r>
      <w:r w:rsidR="006B069A">
        <w:t>különbségei</w:t>
      </w:r>
    </w:p>
    <w:p w14:paraId="0316EA72" w14:textId="77777777" w:rsidR="0051501D" w:rsidRDefault="0051501D" w:rsidP="0051501D">
      <w:pPr>
        <w:tabs>
          <w:tab w:val="left" w:pos="90"/>
        </w:tabs>
        <w:spacing w:after="0"/>
        <w:jc w:val="center"/>
      </w:pP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2154"/>
        <w:gridCol w:w="6224"/>
        <w:gridCol w:w="6223"/>
      </w:tblGrid>
      <w:tr w:rsidR="0051501D" w14:paraId="673ABA4E" w14:textId="77777777" w:rsidTr="0051501D">
        <w:tc>
          <w:tcPr>
            <w:tcW w:w="2155" w:type="dxa"/>
          </w:tcPr>
          <w:p w14:paraId="21030F66" w14:textId="77777777" w:rsidR="0051501D" w:rsidRDefault="0051501D" w:rsidP="00A12D73">
            <w:pPr>
              <w:tabs>
                <w:tab w:val="left" w:pos="90"/>
              </w:tabs>
            </w:pPr>
          </w:p>
        </w:tc>
        <w:tc>
          <w:tcPr>
            <w:tcW w:w="6237" w:type="dxa"/>
            <w:vAlign w:val="center"/>
          </w:tcPr>
          <w:p w14:paraId="0D727BBF" w14:textId="77777777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Nyugat</w:t>
            </w:r>
          </w:p>
        </w:tc>
        <w:tc>
          <w:tcPr>
            <w:tcW w:w="6237" w:type="dxa"/>
            <w:vAlign w:val="center"/>
          </w:tcPr>
          <w:p w14:paraId="7C0210FF" w14:textId="77777777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 xml:space="preserve">Kelet </w:t>
            </w:r>
          </w:p>
          <w:p w14:paraId="7652F2D5" w14:textId="77777777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(Ortodox, görög-keleti, pravoszláv)</w:t>
            </w:r>
          </w:p>
        </w:tc>
      </w:tr>
      <w:tr w:rsidR="0051501D" w14:paraId="1F05B63C" w14:textId="77777777" w:rsidTr="0051501D">
        <w:tc>
          <w:tcPr>
            <w:tcW w:w="2155" w:type="dxa"/>
            <w:vAlign w:val="center"/>
          </w:tcPr>
          <w:p w14:paraId="530A35F3" w14:textId="77777777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Nyelv</w:t>
            </w:r>
          </w:p>
        </w:tc>
        <w:tc>
          <w:tcPr>
            <w:tcW w:w="6237" w:type="dxa"/>
          </w:tcPr>
          <w:p w14:paraId="49C48F88" w14:textId="77777777" w:rsidR="0051501D" w:rsidRDefault="0051501D" w:rsidP="00A12D73">
            <w:pPr>
              <w:tabs>
                <w:tab w:val="left" w:pos="90"/>
              </w:tabs>
              <w:jc w:val="center"/>
            </w:pPr>
            <w:r>
              <w:t>Latin</w:t>
            </w:r>
          </w:p>
        </w:tc>
        <w:tc>
          <w:tcPr>
            <w:tcW w:w="6237" w:type="dxa"/>
          </w:tcPr>
          <w:p w14:paraId="14C32F99" w14:textId="77777777" w:rsidR="0051501D" w:rsidRDefault="0051501D" w:rsidP="00A12D73">
            <w:pPr>
              <w:tabs>
                <w:tab w:val="left" w:pos="90"/>
              </w:tabs>
              <w:jc w:val="center"/>
            </w:pPr>
            <w:r>
              <w:t>Görög</w:t>
            </w:r>
          </w:p>
        </w:tc>
      </w:tr>
      <w:tr w:rsidR="0051501D" w14:paraId="7106BDA4" w14:textId="77777777" w:rsidTr="0051501D">
        <w:tc>
          <w:tcPr>
            <w:tcW w:w="2155" w:type="dxa"/>
            <w:vAlign w:val="center"/>
          </w:tcPr>
          <w:p w14:paraId="392CD15F" w14:textId="77777777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Papi élet</w:t>
            </w:r>
          </w:p>
        </w:tc>
        <w:tc>
          <w:tcPr>
            <w:tcW w:w="6237" w:type="dxa"/>
          </w:tcPr>
          <w:p w14:paraId="0768FE7C" w14:textId="77777777" w:rsidR="0051501D" w:rsidRDefault="0051501D" w:rsidP="00A12D73">
            <w:pPr>
              <w:tabs>
                <w:tab w:val="left" w:pos="90"/>
              </w:tabs>
              <w:jc w:val="center"/>
            </w:pPr>
            <w:r>
              <w:t>Cölibátus</w:t>
            </w:r>
          </w:p>
        </w:tc>
        <w:tc>
          <w:tcPr>
            <w:tcW w:w="6237" w:type="dxa"/>
          </w:tcPr>
          <w:p w14:paraId="61F78DC6" w14:textId="77777777" w:rsidR="0051501D" w:rsidRDefault="0051501D" w:rsidP="00A12D73">
            <w:pPr>
              <w:tabs>
                <w:tab w:val="left" w:pos="90"/>
              </w:tabs>
              <w:jc w:val="center"/>
            </w:pPr>
            <w:r>
              <w:t>A papok házasodhattak</w:t>
            </w:r>
          </w:p>
        </w:tc>
      </w:tr>
      <w:tr w:rsidR="0051501D" w14:paraId="193E4E8A" w14:textId="77777777" w:rsidTr="0051501D">
        <w:tc>
          <w:tcPr>
            <w:tcW w:w="2155" w:type="dxa"/>
            <w:vAlign w:val="center"/>
          </w:tcPr>
          <w:p w14:paraId="2AA63F2E" w14:textId="77777777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Rítusok, szertartások</w:t>
            </w:r>
          </w:p>
        </w:tc>
        <w:tc>
          <w:tcPr>
            <w:tcW w:w="6237" w:type="dxa"/>
          </w:tcPr>
          <w:p w14:paraId="46D29244" w14:textId="77777777" w:rsidR="0051501D" w:rsidRDefault="0051501D" w:rsidP="005150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49" w:hanging="180"/>
            </w:pPr>
            <w:r>
              <w:t>Az oltár a hívők számára is látható, a szertartás a hívők előtt történik</w:t>
            </w:r>
          </w:p>
          <w:p w14:paraId="17420A48" w14:textId="77777777" w:rsidR="0051501D" w:rsidRDefault="0051501D" w:rsidP="0051501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49" w:hanging="180"/>
            </w:pPr>
            <w:r>
              <w:t>Úrvacsorán kovásztalan kenyér (ostya) használata</w:t>
            </w:r>
          </w:p>
        </w:tc>
        <w:tc>
          <w:tcPr>
            <w:tcW w:w="6237" w:type="dxa"/>
          </w:tcPr>
          <w:p w14:paraId="5B911BE2" w14:textId="77777777" w:rsidR="0051501D" w:rsidRDefault="0051501D" w:rsidP="0051501D">
            <w:pPr>
              <w:pStyle w:val="ListParagraph"/>
              <w:numPr>
                <w:ilvl w:val="0"/>
                <w:numId w:val="1"/>
              </w:numPr>
              <w:tabs>
                <w:tab w:val="left" w:pos="90"/>
              </w:tabs>
              <w:spacing w:line="240" w:lineRule="auto"/>
              <w:ind w:left="253" w:hanging="197"/>
            </w:pPr>
            <w:r>
              <w:t>A papok és hívők elkülönülnek, a sekrestyét elzárja a kovász</w:t>
            </w:r>
          </w:p>
          <w:p w14:paraId="68E7A1FD" w14:textId="77777777" w:rsidR="0051501D" w:rsidRDefault="0051501D" w:rsidP="0051501D">
            <w:pPr>
              <w:pStyle w:val="ListParagraph"/>
              <w:numPr>
                <w:ilvl w:val="0"/>
                <w:numId w:val="1"/>
              </w:numPr>
              <w:tabs>
                <w:tab w:val="left" w:pos="90"/>
              </w:tabs>
              <w:spacing w:line="240" w:lineRule="auto"/>
              <w:ind w:left="253" w:hanging="197"/>
            </w:pPr>
            <w:r>
              <w:t>Úrvacsorán kovászos kenyér használata</w:t>
            </w:r>
          </w:p>
        </w:tc>
      </w:tr>
      <w:tr w:rsidR="0051501D" w14:paraId="522D776A" w14:textId="77777777" w:rsidTr="0051501D">
        <w:tc>
          <w:tcPr>
            <w:tcW w:w="2155" w:type="dxa"/>
            <w:vAlign w:val="center"/>
          </w:tcPr>
          <w:p w14:paraId="0657BFA1" w14:textId="77777777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Dogmák</w:t>
            </w:r>
          </w:p>
        </w:tc>
        <w:tc>
          <w:tcPr>
            <w:tcW w:w="6237" w:type="dxa"/>
          </w:tcPr>
          <w:p w14:paraId="6F5F3F81" w14:textId="77777777" w:rsidR="0051501D" w:rsidRDefault="0051501D" w:rsidP="00A12D73">
            <w:pPr>
              <w:tabs>
                <w:tab w:val="left" w:pos="90"/>
              </w:tabs>
            </w:pPr>
            <w:r>
              <w:t>A szentképek tisztelete folyamatos</w:t>
            </w:r>
          </w:p>
          <w:p w14:paraId="341424A9" w14:textId="77777777" w:rsidR="0051501D" w:rsidRDefault="0051501D" w:rsidP="00A12D73">
            <w:pPr>
              <w:tabs>
                <w:tab w:val="left" w:pos="90"/>
              </w:tabs>
            </w:pPr>
            <w:r>
              <w:t>Szentháromság: az Atyától és a Fiútól is (</w:t>
            </w:r>
            <w:proofErr w:type="spellStart"/>
            <w:r>
              <w:t>Filique</w:t>
            </w:r>
            <w:proofErr w:type="spellEnd"/>
            <w:r>
              <w:t xml:space="preserve">) származik a szentlélek </w:t>
            </w:r>
          </w:p>
        </w:tc>
        <w:tc>
          <w:tcPr>
            <w:tcW w:w="6237" w:type="dxa"/>
          </w:tcPr>
          <w:p w14:paraId="03CF3759" w14:textId="77777777" w:rsidR="0051501D" w:rsidRDefault="0051501D" w:rsidP="00A12D73">
            <w:pPr>
              <w:tabs>
                <w:tab w:val="left" w:pos="90"/>
              </w:tabs>
            </w:pPr>
            <w:r>
              <w:t>A szentképek tiszteletét a VIII. században a bizánci császár megtiltotta (képrombolás)</w:t>
            </w:r>
          </w:p>
          <w:p w14:paraId="3F8AFD8A" w14:textId="77777777" w:rsidR="0051501D" w:rsidRDefault="0051501D" w:rsidP="00A12D73">
            <w:pPr>
              <w:tabs>
                <w:tab w:val="left" w:pos="90"/>
              </w:tabs>
            </w:pPr>
            <w:r>
              <w:t>Szentháromság: Csak az Atyától származik a Szentlélek</w:t>
            </w:r>
          </w:p>
        </w:tc>
      </w:tr>
      <w:tr w:rsidR="0051501D" w14:paraId="10B71BA3" w14:textId="77777777" w:rsidTr="0051501D">
        <w:tc>
          <w:tcPr>
            <w:tcW w:w="2155" w:type="dxa"/>
            <w:vAlign w:val="center"/>
          </w:tcPr>
          <w:p w14:paraId="354B0702" w14:textId="77777777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Szokások</w:t>
            </w:r>
          </w:p>
        </w:tc>
        <w:tc>
          <w:tcPr>
            <w:tcW w:w="6237" w:type="dxa"/>
          </w:tcPr>
          <w:p w14:paraId="1A58A7FA" w14:textId="77777777" w:rsidR="0051501D" w:rsidRDefault="0051501D" w:rsidP="00A12D73">
            <w:pPr>
              <w:tabs>
                <w:tab w:val="left" w:pos="90"/>
              </w:tabs>
            </w:pPr>
            <w:r>
              <w:t xml:space="preserve">Kiközösítették azokat, akik három egymás utáni vasárnap nem járultak szentáldozáshoz </w:t>
            </w:r>
          </w:p>
          <w:p w14:paraId="5630E9E6" w14:textId="77777777" w:rsidR="0051501D" w:rsidRDefault="0051501D" w:rsidP="00A12D73">
            <w:pPr>
              <w:tabs>
                <w:tab w:val="left" w:pos="90"/>
              </w:tabs>
            </w:pPr>
            <w:r>
              <w:t xml:space="preserve">A szerzeteseknek nem voltak rabszolgáik </w:t>
            </w:r>
          </w:p>
          <w:p w14:paraId="2D8A12B8" w14:textId="77777777" w:rsidR="0051501D" w:rsidRDefault="0051501D" w:rsidP="00A12D73">
            <w:pPr>
              <w:tabs>
                <w:tab w:val="left" w:pos="90"/>
              </w:tabs>
            </w:pPr>
            <w:r>
              <w:t>Engedélyezték, hogy az özvegyek apácák legyenek</w:t>
            </w:r>
          </w:p>
        </w:tc>
        <w:tc>
          <w:tcPr>
            <w:tcW w:w="6237" w:type="dxa"/>
          </w:tcPr>
          <w:p w14:paraId="24FCE17B" w14:textId="77777777" w:rsidR="0051501D" w:rsidRDefault="0051501D" w:rsidP="00A12D73">
            <w:pPr>
              <w:tabs>
                <w:tab w:val="left" w:pos="90"/>
              </w:tabs>
            </w:pPr>
            <w:r>
              <w:t>Nem közösítették ki azokat, akik három egymás utáni vasárnap nem járultak szentáldozáshoz</w:t>
            </w:r>
          </w:p>
          <w:p w14:paraId="1462EDD9" w14:textId="77777777" w:rsidR="0051501D" w:rsidRDefault="0051501D" w:rsidP="00A12D73">
            <w:pPr>
              <w:tabs>
                <w:tab w:val="left" w:pos="90"/>
              </w:tabs>
            </w:pPr>
            <w:r>
              <w:t>A szerzeteseknek voltak rabszolgái</w:t>
            </w:r>
          </w:p>
          <w:p w14:paraId="324B6038" w14:textId="77777777" w:rsidR="0051501D" w:rsidRDefault="0051501D" w:rsidP="00A12D73">
            <w:pPr>
              <w:tabs>
                <w:tab w:val="left" w:pos="90"/>
              </w:tabs>
            </w:pPr>
            <w:r>
              <w:t>Nem engedélyezték, hogy az özvegyek apácák legyenek</w:t>
            </w:r>
          </w:p>
        </w:tc>
      </w:tr>
      <w:tr w:rsidR="0051501D" w14:paraId="56FC41AC" w14:textId="77777777" w:rsidTr="0051501D">
        <w:tc>
          <w:tcPr>
            <w:tcW w:w="2155" w:type="dxa"/>
            <w:vAlign w:val="center"/>
          </w:tcPr>
          <w:p w14:paraId="5BAC0724" w14:textId="77777777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Egyházszervezet</w:t>
            </w:r>
          </w:p>
        </w:tc>
        <w:tc>
          <w:tcPr>
            <w:tcW w:w="6237" w:type="dxa"/>
          </w:tcPr>
          <w:p w14:paraId="719AE27E" w14:textId="77777777" w:rsidR="0051501D" w:rsidRDefault="0051501D" w:rsidP="00A12D73">
            <w:pPr>
              <w:tabs>
                <w:tab w:val="left" w:pos="90"/>
              </w:tabs>
            </w:pPr>
            <w:r>
              <w:t>Rómából a pápa által irányított egyház</w:t>
            </w:r>
          </w:p>
        </w:tc>
        <w:tc>
          <w:tcPr>
            <w:tcW w:w="6237" w:type="dxa"/>
          </w:tcPr>
          <w:p w14:paraId="5DEFE39F" w14:textId="77777777" w:rsidR="0051501D" w:rsidRDefault="0051501D" w:rsidP="00A12D73">
            <w:pPr>
              <w:tabs>
                <w:tab w:val="left" w:pos="90"/>
              </w:tabs>
            </w:pPr>
            <w:r>
              <w:t>Különálló nemzeti egyházak, saját pátriárkájuk vezetésével</w:t>
            </w:r>
          </w:p>
        </w:tc>
      </w:tr>
      <w:tr w:rsidR="0051501D" w14:paraId="13104DE2" w14:textId="77777777" w:rsidTr="0051501D">
        <w:tc>
          <w:tcPr>
            <w:tcW w:w="2155" w:type="dxa"/>
            <w:vAlign w:val="center"/>
          </w:tcPr>
          <w:p w14:paraId="0088A1CC" w14:textId="596CB399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Világi befolyás</w:t>
            </w:r>
          </w:p>
        </w:tc>
        <w:tc>
          <w:tcPr>
            <w:tcW w:w="6237" w:type="dxa"/>
          </w:tcPr>
          <w:p w14:paraId="14B3BBEB" w14:textId="4BF1F898" w:rsidR="0051501D" w:rsidRDefault="0051501D" w:rsidP="00A12D73">
            <w:pPr>
              <w:tabs>
                <w:tab w:val="left" w:pos="90"/>
              </w:tabs>
            </w:pPr>
            <w:r>
              <w:t>A világi uralkodó (császár) felügyelete alóli szabadulás eszméje és egyben célja is volt a nyugati egyháznak (realizálása az invesztitúraharc)</w:t>
            </w:r>
          </w:p>
        </w:tc>
        <w:tc>
          <w:tcPr>
            <w:tcW w:w="6237" w:type="dxa"/>
          </w:tcPr>
          <w:p w14:paraId="4E3CF1AD" w14:textId="495C02BC" w:rsidR="0051501D" w:rsidRDefault="0051501D" w:rsidP="00A12D73">
            <w:pPr>
              <w:tabs>
                <w:tab w:val="left" w:pos="90"/>
              </w:tabs>
            </w:pPr>
            <w:r>
              <w:t>A világi uralkodó (császár) befolyásolása meghatározó</w:t>
            </w:r>
          </w:p>
        </w:tc>
      </w:tr>
      <w:tr w:rsidR="0051501D" w14:paraId="39C71ED1" w14:textId="77777777" w:rsidTr="0051501D">
        <w:tc>
          <w:tcPr>
            <w:tcW w:w="2155" w:type="dxa"/>
            <w:vAlign w:val="center"/>
          </w:tcPr>
          <w:p w14:paraId="1EF089CF" w14:textId="41B920ED" w:rsidR="0051501D" w:rsidRPr="000D50BE" w:rsidRDefault="0051501D" w:rsidP="00A12D73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0D50BE">
              <w:rPr>
                <w:b/>
                <w:bCs/>
              </w:rPr>
              <w:t>Művészet</w:t>
            </w:r>
          </w:p>
        </w:tc>
        <w:tc>
          <w:tcPr>
            <w:tcW w:w="6237" w:type="dxa"/>
          </w:tcPr>
          <w:p w14:paraId="0CE39E7F" w14:textId="1E7CC8B2" w:rsidR="0051501D" w:rsidRDefault="0051501D" w:rsidP="00A12D73">
            <w:pPr>
              <w:tabs>
                <w:tab w:val="left" w:pos="90"/>
              </w:tabs>
            </w:pPr>
            <w:r>
              <w:t>A művészeknek van szabadságuk a témaválasztásban és a megvalósításban</w:t>
            </w:r>
          </w:p>
        </w:tc>
        <w:tc>
          <w:tcPr>
            <w:tcW w:w="6237" w:type="dxa"/>
          </w:tcPr>
          <w:p w14:paraId="13442EE1" w14:textId="09D9F10E" w:rsidR="0051501D" w:rsidRDefault="0051501D" w:rsidP="00A12D73">
            <w:pPr>
              <w:tabs>
                <w:tab w:val="left" w:pos="90"/>
              </w:tabs>
            </w:pPr>
            <w:r>
              <w:t>Mereven szabályozott technikák és témaválasztások jellemzik (Pl. Krisztust csak egyféleképpen lehetett ábrázolni az ikonokon)</w:t>
            </w:r>
          </w:p>
        </w:tc>
      </w:tr>
    </w:tbl>
    <w:p w14:paraId="26704771" w14:textId="77777777" w:rsidR="0051501D" w:rsidRDefault="0051501D" w:rsidP="0051501D">
      <w:pPr>
        <w:tabs>
          <w:tab w:val="left" w:pos="90"/>
        </w:tabs>
        <w:spacing w:after="0"/>
      </w:pPr>
    </w:p>
    <w:p w14:paraId="17E22347" w14:textId="77777777" w:rsidR="0051501D" w:rsidRDefault="0051501D"/>
    <w:sectPr w:rsidR="0051501D" w:rsidSect="005150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8678E"/>
    <w:multiLevelType w:val="hybridMultilevel"/>
    <w:tmpl w:val="C38446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22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1D"/>
    <w:rsid w:val="0051501D"/>
    <w:rsid w:val="006B069A"/>
    <w:rsid w:val="00A2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BA23"/>
  <w15:chartTrackingRefBased/>
  <w15:docId w15:val="{99FBC5E3-92B1-46D6-9D06-70C9BE55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01D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501D"/>
    <w:pPr>
      <w:spacing w:after="0" w:line="240" w:lineRule="auto"/>
    </w:pPr>
    <w:rPr>
      <w:sz w:val="22"/>
      <w:szCs w:val="22"/>
      <w:lang w:val="hu-H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F656C-E767-4939-B5D3-497FED9F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2025-04-18T15:12:00Z</dcterms:created>
  <dcterms:modified xsi:type="dcterms:W3CDTF">2025-04-18T15:15:00Z</dcterms:modified>
</cp:coreProperties>
</file>