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Care Image Privacy Service</w:t>
      </w:r>
    </w:p>
    <w:p>
      <w:r>
        <w:t>Final implementation plan with Phase 0 scope and delivery status</w:t>
      </w:r>
    </w:p>
    <w:p>
      <w:r>
        <w:t>This document defines the target local service and the implementation stages, using the technology actually exercised in the current feasibility spike. The architecture is the implementation plan; model acceptance, commercial licensing and production readiness remain subject to validation.</w:t>
      </w:r>
    </w:p>
    <w:p>
      <w:pPr>
        <w:pStyle w:val="Heading1"/>
      </w:pPr>
      <w:r>
        <w:t>1 Intended result and utility preservation</w:t>
      </w:r>
    </w:p>
    <w:p>
      <w:r>
        <w:t>Process caregiver-taken still images locally before any care AI receives them. Replace every recognizable real face with a synthetic face while retaining the full body, care context and required eye, mouth, facial-expression and head-pose information. Mask visible text and freshly encode the output without source metadata.</w:t>
      </w:r>
    </w:p>
    <w:p>
      <w:r>
        <w:t>Utility preservation means retaining the information needed for the downstream care task, not merely producing a detectable face or similar landmarks. Synthetic skin or lip color, texture, wrinkles, wounds, swelling and asymmetry must not be treated as original clinical evidence without separate validation.</w:t>
      </w:r>
    </w:p>
    <w:p>
      <w:pPr>
        <w:pStyle w:val="Heading1"/>
      </w:pPr>
      <w:r>
        <w:t>2 Selected components and stage boundaries</w:t>
      </w:r>
    </w:p>
    <w:tbl>
      <w:tblPr>
        <w:tblW w:type="auto" w:w="0"/>
        <w:jc w:val="center"/>
        <w:tblLayout w:type="fixed"/>
        <w:tblLook w:firstColumn="1" w:firstRow="1" w:lastColumn="0" w:lastRow="0" w:noHBand="0" w:noVBand="1" w:val="04A0"/>
      </w:tblPr>
      <w:tblGrid>
        <w:gridCol w:w="1584"/>
        <w:gridCol w:w="5040"/>
        <w:gridCol w:w="3096"/>
      </w:tblGrid>
      <w:tr>
        <w:trPr>
          <w:cantSplit/>
          <w:tblHeader/>
        </w:trPr>
        <w:tc>
          <w:tcPr>
            <w:tcW w:type="dxa" w:w="158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E6EDF2"/>
          </w:tcPr>
          <w:p>
            <w:pPr>
              <w:spacing w:after="0" w:line="247" w:lineRule="auto"/>
            </w:pPr>
            <w:r>
              <w:rPr>
                <w:b/>
                <w:color w:val="000000"/>
                <w:sz w:val="19"/>
              </w:rPr>
              <w:t>Component</w:t>
            </w:r>
          </w:p>
        </w:tc>
        <w:tc>
          <w:tcPr>
            <w:tcW w:type="dxa" w:w="50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E6EDF2"/>
          </w:tcPr>
          <w:p>
            <w:pPr>
              <w:spacing w:after="0" w:line="247" w:lineRule="auto"/>
            </w:pPr>
            <w:r>
              <w:rPr>
                <w:b/>
                <w:color w:val="000000"/>
                <w:sz w:val="19"/>
              </w:rPr>
              <w:t>Implementation choice</w:t>
            </w:r>
          </w:p>
        </w:tc>
        <w:tc>
          <w:tcPr>
            <w:tcW w:type="dxa" w:w="309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E6EDF2"/>
          </w:tcPr>
          <w:p>
            <w:pPr>
              <w:spacing w:after="0" w:line="247" w:lineRule="auto"/>
            </w:pPr>
            <w:r>
              <w:rPr>
                <w:b/>
                <w:color w:val="000000"/>
                <w:sz w:val="19"/>
              </w:rPr>
              <w:t>Delivery status</w:t>
            </w:r>
          </w:p>
        </w:tc>
      </w:tr>
      <w:tr>
        <w:trPr>
          <w:cantSplit/>
        </w:trPr>
        <w:tc>
          <w:tcPr>
            <w:tcW w:type="dxa" w:w="158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Face detection</w:t>
            </w:r>
          </w:p>
        </w:tc>
        <w:tc>
          <w:tcPr>
            <w:tcW w:type="dxa" w:w="50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YuNet at multiple scales; MediaPipe BlazeFace as an additional check. Detector adapter remains replaceable.</w:t>
            </w:r>
          </w:p>
        </w:tc>
        <w:tc>
          <w:tcPr>
            <w:tcW w:type="dxa" w:w="309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Phase 0 implemented; coverage not validated</w:t>
            </w:r>
          </w:p>
        </w:tc>
      </w:tr>
      <w:tr>
        <w:trPr>
          <w:cantSplit/>
        </w:trPr>
        <w:tc>
          <w:tcPr>
            <w:tcW w:type="dxa" w:w="158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Face generation</w:t>
            </w:r>
          </w:p>
        </w:tc>
        <w:tc>
          <w:tcPr>
            <w:tcW w:type="dxa" w:w="50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Official GANonymization publication checkpoint and GeneratorUNet, behind a replaceable anonymizer contract.</w:t>
            </w:r>
          </w:p>
        </w:tc>
        <w:tc>
          <w:tcPr>
            <w:tcW w:type="dxa" w:w="309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Phase 0 implemented for face crops</w:t>
            </w:r>
          </w:p>
        </w:tc>
      </w:tr>
      <w:tr>
        <w:trPr>
          <w:cantSplit/>
        </w:trPr>
        <w:tc>
          <w:tcPr>
            <w:tcW w:type="dxa" w:w="158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Identity measurement</w:t>
            </w:r>
          </w:p>
        </w:tc>
        <w:tc>
          <w:tcPr>
            <w:tcW w:type="dxa" w:w="50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OpenCV SFace cosine similarity. Add independent recognizers for later attack testing.</w:t>
            </w:r>
          </w:p>
        </w:tc>
        <w:tc>
          <w:tcPr>
            <w:tcW w:type="dxa" w:w="309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Phase 0 measured; thresholds uncalibrated</w:t>
            </w:r>
          </w:p>
        </w:tc>
      </w:tr>
      <w:tr>
        <w:trPr>
          <w:cantSplit/>
        </w:trPr>
        <w:tc>
          <w:tcPr>
            <w:tcW w:type="dxa" w:w="158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Facial state</w:t>
            </w:r>
          </w:p>
        </w:tc>
        <w:tc>
          <w:tcPr>
            <w:tcW w:type="dxa" w:w="50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MediaPipe FaceMesh 478 points; EAR, MAR, brow geometry and approximate head pose.</w:t>
            </w:r>
          </w:p>
        </w:tc>
        <w:tc>
          <w:tcPr>
            <w:tcW w:type="dxa" w:w="309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Phase 0 implemented; no blendshape or AU output</w:t>
            </w:r>
          </w:p>
        </w:tc>
      </w:tr>
      <w:tr>
        <w:trPr>
          <w:cantSplit/>
        </w:trPr>
        <w:tc>
          <w:tcPr>
            <w:tcW w:type="dxa" w:w="158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Utility validation</w:t>
            </w:r>
          </w:p>
        </w:tc>
        <w:tc>
          <w:tcPr>
            <w:tcW w:type="dxa" w:w="50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Separate validator contract; independent review and downstream care AI consistency evaluation.</w:t>
            </w:r>
          </w:p>
        </w:tc>
        <w:tc>
          <w:tcPr>
            <w:tcW w:type="dxa" w:w="309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Phase 0 partially implemented; evaluation pending</w:t>
            </w:r>
          </w:p>
        </w:tc>
      </w:tr>
      <w:tr>
        <w:trPr>
          <w:cantSplit/>
        </w:trPr>
        <w:tc>
          <w:tcPr>
            <w:tcW w:type="dxa" w:w="158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Text and service</w:t>
            </w:r>
          </w:p>
        </w:tc>
        <w:tc>
          <w:tcPr>
            <w:tcW w:type="dxa" w:w="50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PaddleOCR strict masking, FastAPI, image composition and clean encoding.</w:t>
            </w:r>
          </w:p>
        </w:tc>
        <w:tc>
          <w:tcPr>
            <w:tcW w:type="dxa" w:w="309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Later phases; not implemented</w:t>
            </w:r>
          </w:p>
        </w:tc>
      </w:tr>
    </w:tbl>
    <w:p>
      <w:pPr>
        <w:spacing w:before="160"/>
      </w:pPr>
      <w:r>
        <w:t>SCRFD and ArcFace are optional future adapter alternatives, not the models used in the current spike. GANonymization remains a research baseline and may be replaced if it fails the utility gate.</w:t>
      </w:r>
    </w:p>
    <w:p>
      <w:r>
        <w:t>Status labels used below: PHASE 0 DONE, PHASE 0 PLANNED, and LATER PHASES PLANNED. A completed measurement is not a privacy or utility pass.</w:t>
      </w:r>
    </w:p>
    <w:p>
      <w:r>
        <w:br w:type="page"/>
      </w:r>
    </w:p>
    <w:p>
      <w:pPr>
        <w:pStyle w:val="Heading1"/>
      </w:pPr>
      <w:r>
        <w:t>3 Phase 0 feasibility spike</w:t>
      </w:r>
    </w:p>
    <w:p>
      <w:pPr>
        <w:pStyle w:val="Heading2"/>
      </w:pPr>
      <w:r>
        <w:t>PHASE 0 DONE</w:t>
      </w:r>
    </w:p>
    <w:p>
      <w:r>
        <w:t>The official 25-epoch checkpoint runs locally with unchanged generator weights. Its stored epoch is 24 on a zero-based count. The checkpoint is loaded with weights_only=True and a strict generator state dictionary.</w:t>
      </w:r>
    </w:p>
    <w:p>
      <w:r>
        <w:t>Environment: macOS 15.3.2 on Apple M1 Pro, Python 3.8.20, torch 2.2.2, torchvision 0.17.2, MediaPipe 0.10.9, OpenCV contrib 4.8.1.78 and NumPy 1.24.4. Generation and recognition use CPU; MediaPipe also requires a local macOS graphics context. The full dependency list is recorded in phase0/requirements.lock.txt.</w:t>
      </w:r>
    </w:p>
    <w:p>
      <w:r>
        <w:t>Source: https://mediastore.rz.uni-augsburg.de/get/NsLjQYey65/</w:t>
        <w:br/>
        <w:t>Size: 687127579 bytes</w:t>
        <w:br/>
        <w:t>SHA-256: eba49bd525033b55022a91d6b4398ab088b51339fd6895db7afdd648d776eec9</w:t>
      </w:r>
    </w:p>
    <w:p>
      <w:r>
        <w:t>The spike preserves the official padding and landmark rendering, but uses YuNet crops with 20 percent context per side and no roll alignment. It is not an unchanged reproduction of the official RetinaFace-based CLI. Outputs are 512 by 512 face crops, not composited full images.</w:t>
      </w:r>
    </w:p>
    <w:p>
      <w:r>
        <w:t>The smoke test covers 16 inputs: 12 public photographs and 4 explicitly synthetic stress variants. Eleven inputs produced 13 candidate faces. Twelve candidates have identity scores, twelve have state measurements, and eleven have both. No output is approved for release. The independent review records Codex visual observations; it is not a clinician assessment or a reusable trained utility model.</w:t>
      </w:r>
    </w:p>
    <w:p>
      <w:pPr>
        <w:pStyle w:val="Heading2"/>
      </w:pPr>
      <w:r>
        <w:t>PHASE 0 PLANNED</w:t>
      </w:r>
    </w:p>
    <w:tbl>
      <w:tblPr>
        <w:tblW w:type="auto" w:w="0"/>
        <w:jc w:val="center"/>
        <w:tblLayout w:type="fixed"/>
        <w:tblLook w:firstColumn="1" w:firstRow="1" w:lastColumn="0" w:lastRow="0" w:noHBand="0" w:noVBand="1" w:val="04A0"/>
      </w:tblPr>
      <w:tblGrid>
        <w:gridCol w:w="3312"/>
        <w:gridCol w:w="6408"/>
      </w:tblGrid>
      <w:tr>
        <w:trPr>
          <w:cantSplit/>
          <w:tblHeader/>
        </w:trPr>
        <w:tc>
          <w:tcPr>
            <w:tcW w:type="dxa" w:w="331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E6EDF2"/>
          </w:tcPr>
          <w:p>
            <w:pPr>
              <w:spacing w:after="0" w:line="247" w:lineRule="auto"/>
            </w:pPr>
            <w:r>
              <w:rPr>
                <w:b/>
                <w:color w:val="000000"/>
                <w:sz w:val="19"/>
              </w:rPr>
              <w:t>Work to implement or complete</w:t>
            </w:r>
          </w:p>
        </w:tc>
        <w:tc>
          <w:tcPr>
            <w:tcW w:type="dxa" w:w="640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E6EDF2"/>
          </w:tcPr>
          <w:p>
            <w:pPr>
              <w:spacing w:after="0" w:line="247" w:lineRule="auto"/>
            </w:pPr>
            <w:r>
              <w:rPr>
                <w:b/>
                <w:color w:val="000000"/>
                <w:sz w:val="19"/>
              </w:rPr>
              <w:t>Required evidence</w:t>
            </w:r>
          </w:p>
        </w:tc>
      </w:tr>
      <w:tr>
        <w:trPr>
          <w:cantSplit/>
        </w:trPr>
        <w:tc>
          <w:tcPr>
            <w:tcW w:type="dxa" w:w="331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Controlled preprocessing comparison</w:t>
            </w:r>
          </w:p>
        </w:tc>
        <w:tc>
          <w:tcPr>
            <w:tcW w:type="dxa" w:w="640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Run the official RetinaFace and alignment path against the current YuNet crop path on the same samples; record compatibility changes and separate preprocessing failures from model failures.</w:t>
            </w:r>
          </w:p>
        </w:tc>
      </w:tr>
      <w:tr>
        <w:trPr>
          <w:cantSplit/>
        </w:trPr>
        <w:tc>
          <w:tcPr>
            <w:tcW w:type="dxa" w:w="331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Authorized care-scene evaluation</w:t>
            </w:r>
          </w:p>
        </w:tc>
        <w:tc>
          <w:tcPr>
            <w:tcW w:type="dxa" w:w="640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Add real older-person closed-eye, open-mouth, profile, glasses, feeding-occlusion, bed-rest, side-lying and low-light examples. Record labels and visibility; do not treat rotated or darkened photos as equivalent real scenes.</w:t>
            </w:r>
          </w:p>
        </w:tc>
      </w:tr>
      <w:tr>
        <w:trPr>
          <w:cantSplit/>
        </w:trPr>
        <w:tc>
          <w:tcPr>
            <w:tcW w:type="dxa" w:w="331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Independent utility evaluation</w:t>
            </w:r>
          </w:p>
        </w:tc>
        <w:tc>
          <w:tcPr>
            <w:tcW w:type="dxa" w:w="640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Use expert-reviewed paired eye, mouth, expression and pose labels, including unobservable states. Connect a local downstream care AI evaluator through the existing interface; report task-output consistency.</w:t>
            </w:r>
          </w:p>
        </w:tc>
      </w:tr>
      <w:tr>
        <w:trPr>
          <w:cantSplit/>
        </w:trPr>
        <w:tc>
          <w:tcPr>
            <w:tcW w:type="dxa" w:w="331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Validation and model decision</w:t>
            </w:r>
          </w:p>
        </w:tc>
        <w:tc>
          <w:tcPr>
            <w:tcW w:type="dxa" w:w="640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Investigate false negatives and failed outputs, assess metric reliability, and define calibration and acceptance criteria. Compare another anonymizer if the baseline still changes care-relevant states.</w:t>
            </w:r>
          </w:p>
        </w:tc>
      </w:tr>
    </w:tbl>
    <w:p>
      <w:pPr>
        <w:spacing w:before="160"/>
      </w:pPr>
      <w:r>
        <w:t>Current decision: Phase 0 remains open. Observed changes include a closed mouth becoming a toothy smile and hidden eye or mouth states being synthesized. Full service development must wait for the Phase 0 review and explicit approval to proceed.</w:t>
      </w:r>
    </w:p>
    <w:p>
      <w:r>
        <w:br w:type="page"/>
      </w:r>
    </w:p>
    <w:p>
      <w:pPr>
        <w:pStyle w:val="Heading1"/>
      </w:pPr>
      <w:r>
        <w:t>4 Final local processing flow</w:t>
      </w:r>
    </w:p>
    <w:p>
      <w:r>
        <w:rPr>
          <w:b/>
        </w:rPr>
        <w:t xml:space="preserve">Implementation status </w:t>
      </w:r>
      <w:r>
        <w:t>LATER PHASES PLANNED</w:t>
      </w:r>
    </w:p>
    <w:p>
      <w:r>
        <w:t>Validate input and limits; decode and correct orientation; detect all suspected faces; extract dense landmarks; generate and map replacement faces back into the full image; mask text; encode a fresh PNG or JPEG; decode that exact output; run coverage, identity, state, utility, text and metadata checks; return only an approved result.</w:t>
      </w:r>
    </w:p>
    <w:p>
      <w:r>
        <w:t>Maintain a record for each face with its source box, confidence, landmarks, alignment transform, replacement mask and processing status. Process every face, including staff, family members, background faces and other residents. Match source and output faces spatially and check masks; equal face counts alone do not establish coverage.</w:t>
      </w:r>
    </w:p>
    <w:p>
      <w:pPr>
        <w:pStyle w:val="Heading2"/>
      </w:pPr>
      <w:r>
        <w:t>Fail closed and zero face policy</w:t>
      </w:r>
    </w:p>
    <w:p>
      <w:r>
        <w:t>Any suspected but unprocessed face, partial replacement, unreliable required check, OCR error, residual text or pipeline exception must block image release. Required checks return pass, fail or indeterminate; only an all-pass result can be released. Never substitute the original or a partly processed image for a failure.</w:t>
      </w:r>
    </w:p>
    <w:p>
      <w:r>
        <w:t>Zero-face handling is configurable. Continue only if the configured policy permits it, at least two detectors complete successfully with no suspected faces, and no other evidence indicates a missed face. Detector disagreement or error must reject the image. Multiple negative detections are not proof of absence. The current spike defaults to rejection and disables all release.</w:t>
      </w:r>
    </w:p>
    <w:p>
      <w:pPr>
        <w:pStyle w:val="Heading2"/>
      </w:pPr>
      <w:r>
        <w:t>Local APIs</w:t>
      </w:r>
    </w:p>
    <w:tbl>
      <w:tblPr>
        <w:tblW w:type="auto" w:w="0"/>
        <w:jc w:val="center"/>
        <w:tblLayout w:type="fixed"/>
        <w:tblLook w:firstColumn="1" w:firstRow="1" w:lastColumn="0" w:lastRow="0" w:noHBand="0" w:noVBand="1" w:val="04A0"/>
      </w:tblPr>
      <w:tblGrid>
        <w:gridCol w:w="3888"/>
        <w:gridCol w:w="5832"/>
      </w:tblGrid>
      <w:tr>
        <w:trPr>
          <w:cantSplit/>
          <w:tblHeader/>
        </w:trPr>
        <w:tc>
          <w:tcPr>
            <w:tcW w:type="dxa" w:w="388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E6EDF2"/>
          </w:tcPr>
          <w:p>
            <w:pPr>
              <w:spacing w:after="0" w:line="247" w:lineRule="auto"/>
            </w:pPr>
            <w:r>
              <w:rPr>
                <w:b/>
                <w:color w:val="000000"/>
                <w:sz w:val="19"/>
              </w:rPr>
              <w:t>Endpoint</w:t>
            </w:r>
          </w:p>
        </w:tc>
        <w:tc>
          <w:tcPr>
            <w:tcW w:type="dxa" w:w="58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E6EDF2"/>
          </w:tcPr>
          <w:p>
            <w:pPr>
              <w:spacing w:after="0" w:line="247" w:lineRule="auto"/>
            </w:pPr>
            <w:r>
              <w:rPr>
                <w:b/>
                <w:color w:val="000000"/>
                <w:sz w:val="19"/>
              </w:rPr>
              <w:t>Approved response</w:t>
            </w:r>
          </w:p>
        </w:tc>
      </w:tr>
      <w:tr>
        <w:trPr>
          <w:cantSplit/>
        </w:trPr>
        <w:tc>
          <w:tcPr>
            <w:tcW w:type="dxa" w:w="388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POST /anonymize</w:t>
            </w:r>
          </w:p>
        </w:tc>
        <w:tc>
          <w:tcPr>
            <w:tcW w:type="dxa" w:w="58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Validated PNG or JPEG bytes.</w:t>
            </w:r>
          </w:p>
        </w:tc>
      </w:tr>
      <w:tr>
        <w:trPr>
          <w:cantSplit/>
        </w:trPr>
        <w:tc>
          <w:tcPr>
            <w:tcW w:type="dxa" w:w="388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POST /anonymize-and-validate</w:t>
            </w:r>
          </w:p>
        </w:tc>
        <w:tc>
          <w:tcPr>
            <w:tcW w:type="dxa" w:w="583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Base64 image, MIME type and validation report.</w:t>
            </w:r>
          </w:p>
        </w:tc>
      </w:tr>
    </w:tbl>
    <w:p>
      <w:pPr>
        <w:spacing w:before="160"/>
      </w:pPr>
      <w:r>
        <w:t>Both endpoints must use the same gate. Failure responses contain an error code and failure stage without an image. Reports identify detected and processed faces, model and calibration versions, per-face identity and state results, independent utility results, text redaction, metadata removal and overall release status.</w:t>
      </w:r>
    </w:p>
    <w:p>
      <w:pPr>
        <w:pStyle w:val="Heading2"/>
      </w:pPr>
      <w:r>
        <w:t>Target repository and replacement contracts</w:t>
      </w:r>
    </w:p>
    <w:p>
      <w:r>
        <w:t>Keep the existing phase0/ scripts, evidence and reports separate from the future app/. The future app/ contains API routes, configuration, schemas, pipeline orchestration, detection adapters, anonymizer adapters, validators, text redaction and imaging utilities. Keep model manifests in models/, tests in tests/ and deployment and calibration notes in docs/. This target structure is not yet implemented.</w:t>
      </w:r>
    </w:p>
    <w:p>
      <w:r>
        <w:t>FaceAnonymizer, IdentityValidator, UtilityValidator and DownstreamConsistencyEvaluator are separate contracts. Model-specific detection, alignment and synthesis logic must remain outside API routes. Facial-state measurements must not automatically stand in for independent utility validation.</w:t>
      </w:r>
    </w:p>
    <w:p>
      <w:pPr>
        <w:pStyle w:val="Heading2"/>
      </w:pPr>
      <w:r>
        <w:t>Data handling and deployment</w:t>
      </w:r>
    </w:p>
    <w:p>
      <w:r>
        <w:t>The final service processes originals, crops and embeddings locally without persistence or image-bearing logs by default. Public research inputs and unapproved candidates are currently retained locally for review; this is an explicit Phase 0 artifact policy, not the final service default. Weights stay outside Git. Runtime must use preconfigured local models without automatic downloads or external inference calls.</w:t>
      </w:r>
    </w:p>
    <w:p>
      <w:r>
        <w:br w:type="page"/>
      </w:r>
    </w:p>
    <w:p>
      <w:pPr>
        <w:pStyle w:val="Heading1"/>
      </w:pPr>
      <w:r>
        <w:t>5 Validation and release requirements</w:t>
      </w:r>
    </w:p>
    <w:p>
      <w:r>
        <w:rPr>
          <w:b/>
        </w:rPr>
        <w:t xml:space="preserve">Implementation status </w:t>
      </w:r>
      <w:r>
        <w:t>LATER PHASES PLANNED</w:t>
      </w:r>
    </w:p>
    <w:p>
      <w:pPr>
        <w:pStyle w:val="Heading2"/>
      </w:pPr>
      <w:r>
        <w:t>Identity privacy</w:t>
      </w:r>
    </w:p>
    <w:p>
      <w:r>
        <w:t>Measure original-to-final-output embedding similarity using model-specific alignment. Calibrate configurable thresholds on authorized data and record the calibration version. Add multiple recognition models and gallery-based re-identification tests. A low score from a distorted or undetectable face is not a pass; unreliable extraction is indeterminate. No threshold is a legal compliance standard.</w:t>
      </w:r>
    </w:p>
    <w:p>
      <w:pPr>
        <w:pStyle w:val="Heading2"/>
      </w:pPr>
      <w:r>
        <w:t>Facial state and care utility</w:t>
      </w:r>
    </w:p>
    <w:p>
      <w:r>
        <w:t>Compare both eyes separately, mouth openness and shape, expression-related features and head pose on paired images. Current EAR, MAR and generic-template pose measurements are proxies with known limitations. Blendshapes, expression embeddings, action units and gaze remain optional future additions and must not be reported as existing capabilities.</w:t>
      </w:r>
    </w:p>
    <w:p>
      <w:r>
        <w:t>Independently evaluate whether the same care-relevant observations and downstream task results remain supported. Require visibility-aware labels: if an eye or mouth is hidden in the original, a generated visible state is not recovered evidence. Measure changes and failure rates by scenario, separating original photographs from correlated transformed samples.</w:t>
      </w:r>
    </w:p>
    <w:p>
      <w:pPr>
        <w:pStyle w:val="Heading2"/>
      </w:pPr>
      <w:r>
        <w:t>Text and metadata</w:t>
      </w:r>
    </w:p>
    <w:p>
      <w:r>
        <w:t>PaddleOCR strict mode must cover every detected text region with an expanded opaque mask, regardless of whether transcription succeeds. Recheck the final image for text. Preserve orientation in pixels, freshly encode PNG or JPEG without copying EXIF, GPS, device or timestamp metadata, then inspect the actual encoded output. These modules are not part of the current spike.</w:t>
      </w:r>
    </w:p>
    <w:p>
      <w:pPr>
        <w:pStyle w:val="Heading1"/>
      </w:pPr>
      <w:r>
        <w:t>6 Implementation order and acceptance gates</w:t>
      </w:r>
    </w:p>
    <w:tbl>
      <w:tblPr>
        <w:tblW w:type="auto" w:w="0"/>
        <w:jc w:val="center"/>
        <w:tblLayout w:type="fixed"/>
        <w:tblLook w:firstColumn="1" w:firstRow="1" w:lastColumn="0" w:lastRow="0" w:noHBand="0" w:noVBand="1" w:val="04A0"/>
      </w:tblPr>
      <w:tblGrid>
        <w:gridCol w:w="1800"/>
        <w:gridCol w:w="7920"/>
      </w:tblGrid>
      <w:tr>
        <w:trPr>
          <w:cantSplit/>
          <w:tblHeader/>
        </w:trPr>
        <w:tc>
          <w:tcPr>
            <w:tcW w:type="dxa" w:w="180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E6EDF2"/>
          </w:tcPr>
          <w:p>
            <w:pPr>
              <w:spacing w:after="0" w:line="247" w:lineRule="auto"/>
            </w:pPr>
            <w:r>
              <w:rPr>
                <w:b/>
                <w:color w:val="000000"/>
                <w:sz w:val="19"/>
              </w:rPr>
              <w:t>Stage</w:t>
            </w:r>
          </w:p>
        </w:tc>
        <w:tc>
          <w:tcPr>
            <w:tcW w:type="dxa" w:w="792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E6EDF2"/>
          </w:tcPr>
          <w:p>
            <w:pPr>
              <w:spacing w:after="0" w:line="247" w:lineRule="auto"/>
            </w:pPr>
            <w:r>
              <w:rPr>
                <w:b/>
                <w:color w:val="000000"/>
                <w:sz w:val="19"/>
              </w:rPr>
              <w:t>Scope and exit gate</w:t>
            </w:r>
          </w:p>
        </w:tc>
      </w:tr>
      <w:tr>
        <w:trPr>
          <w:cantSplit/>
        </w:trPr>
        <w:tc>
          <w:tcPr>
            <w:tcW w:type="dxa" w:w="180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Phase 0</w:t>
            </w:r>
          </w:p>
        </w:tc>
        <w:tc>
          <w:tcPr>
            <w:tcW w:type="dxa" w:w="792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Complete the planned work on page 2. Deliver environment, checkpoint source and hash, per-input results, identity and state metrics, independent utility evidence, failure categories and a go or no-go decision. Proceed only after review and user approval.</w:t>
            </w:r>
          </w:p>
        </w:tc>
      </w:tr>
      <w:tr>
        <w:trPr>
          <w:cantSplit/>
        </w:trPr>
        <w:tc>
          <w:tcPr>
            <w:tcW w:type="dxa" w:w="180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Phase 1</w:t>
            </w:r>
          </w:p>
        </w:tc>
        <w:tc>
          <w:tcPr>
            <w:tcW w:type="dxa" w:w="792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Integrate full-image composition, OCR, encoding, coverage checks, APIs and fail-closed behavior. Validate all-face processing and failure paths on the approved evaluation set before claiming end-to-end readiness.</w:t>
            </w:r>
          </w:p>
        </w:tc>
      </w:tr>
      <w:tr>
        <w:trPr>
          <w:cantSplit/>
        </w:trPr>
        <w:tc>
          <w:tcPr>
            <w:tcW w:type="dxa" w:w="180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Business release</w:t>
            </w:r>
          </w:p>
        </w:tc>
        <w:tc>
          <w:tcPr>
            <w:tcW w:type="dxa" w:w="792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19"/>
              </w:rPr>
              <w:t>Complete threshold calibration, downstream care-task validation, model and data licensing review, offline deployment verification and operational acceptance. Preserve the ability to reject unobservable or unreliable inputs.</w:t>
            </w:r>
          </w:p>
        </w:tc>
      </w:tr>
    </w:tbl>
    <w:p>
      <w:pPr>
        <w:pStyle w:val="Heading1"/>
      </w:pPr>
      <w:r>
        <w:t>7 Limits and evidence references</w:t>
      </w:r>
    </w:p>
    <w:p>
      <w:r>
        <w:t>Face replacement leaves possible identity cues in clothing, body features and backgrounds. Code licenses do not automatically cover pretrained weights or training data. Commercial permission for this research baseline remains unresolved. A technical pass is not a legal anonymity guarantee. Video, tracking, camera integration, cloud deployment and a frontend are outside this implementation scope.</w:t>
      </w:r>
    </w:p>
    <w:p>
      <w:r>
        <w:t>Local evidence: phase0/REPORT.md; phase0/gallery.html; phase0/artifacts/run-context/reviewed-results.json; phase0/requirements.lock.txt; phase0/ATTRIBUTION.md.</w:t>
      </w:r>
    </w:p>
    <w:p>
      <w:r>
        <w:t>Model references: github.com/hcmlab/GANonymization; github.com/opencv/opencv_zoo (YuNet and SFace); github.com/google-ai-edge/mediapipe; github.com/PaddlePaddle/PaddleOCR. Data terms: mmlab.ie.cuhk.edu.hk/projects/CelebA.html.</w:t>
      </w:r>
    </w:p>
    <w:sectPr w:rsidR="00FC693F" w:rsidRPr="0006063C" w:rsidSect="00034616">
      <w:headerReference w:type="default" r:id="rId9"/>
      <w:footerReference w:type="default" r:id="rId10"/>
      <w:pgSz w:w="11906" w:h="16838"/>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Care Image Privacy Service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7" w:lineRule="auto"/>
    </w:pPr>
    <w:rPr>
      <w:rFonts w:ascii="Arial" w:hAnsi="Arial" w:eastAsia="PingFang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88" w:lineRule="auto"/>
      <w:outlineLvl w:val="0"/>
    </w:pPr>
    <w:rPr>
      <w:rFonts w:asciiTheme="majorHAnsi" w:eastAsiaTheme="majorEastAsia" w:hAnsiTheme="majorHAnsi" w:cstheme="majorBidi" w:ascii="Arial" w:hAnsi="Arial" w:eastAsia="PingFang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outlineLvl w:val="1"/>
    </w:pPr>
    <w:rPr>
      <w:rFonts w:asciiTheme="majorHAnsi" w:eastAsiaTheme="majorEastAsia" w:hAnsiTheme="majorHAnsi" w:cstheme="majorBidi" w:ascii="Arial" w:hAnsi="Arial" w:eastAsia="PingFang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88" w:lineRule="auto"/>
      <w:contextualSpacing/>
    </w:pPr>
    <w:rPr>
      <w:rFonts w:asciiTheme="majorHAnsi" w:eastAsiaTheme="majorEastAsia" w:hAnsiTheme="majorHAnsi" w:cstheme="majorBidi" w:ascii="Arial" w:hAnsi="Arial" w:eastAsia="PingFang S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cmlab/GANonymization" TargetMode="External"/><Relationship Id="rId12" Type="http://schemas.openxmlformats.org/officeDocument/2006/relationships/hyperlink" Target="https://github.com/deepinsight/insightface" TargetMode="External"/><Relationship Id="rId13" Type="http://schemas.openxmlformats.org/officeDocument/2006/relationships/hyperlink" Target="https://developers.google.com/edge/mediapipe/solutions/vision/face_landmarker" TargetMode="External"/><Relationship Id="rId14" Type="http://schemas.openxmlformats.org/officeDocument/2006/relationships/hyperlink" Target="https://github.com/PaddlePaddle/PaddleOC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 Image Privacy Service Final Implementation Plan</dc:title>
  <dc:subject>Final service specification with Phase 0 completed and planned work</dc:subject>
  <dc:creator/>
  <cp:keywords/>
  <dc:description/>
  <cp:lastModifiedBy/>
  <cp:revision>1</cp:revision>
  <dcterms:created xsi:type="dcterms:W3CDTF">2013-12-23T23:15:00Z</dcterms:created>
  <dcterms:modified xsi:type="dcterms:W3CDTF">2013-12-23T23:15:00Z</dcterms:modified>
  <cp:category/>
</cp:coreProperties>
</file>