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pStyle w:val="Title"/>
        <w:jc w:val="center"/>
      </w:pPr>
      <w:r>
        <w:rPr>
          <w:rFonts w:ascii="Arial" w:hAnsi="Arial" w:eastAsia="黑体"/>
          <w:b/>
          <w:i w:val="0"/>
          <w:color w:val="000000"/>
          <w:sz w:val="36"/>
        </w:rPr>
        <w:t>Trae CN多Agent协作约束规范</w:t>
      </w:r>
    </w:p>
    <w:p>
      <w:pPr>
        <w:spacing w:before="160" w:after="20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AI摄影文旅文创项目·施工协作规则（VibeCoding多Agent开发）</w:t>
      </w: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360" w:lineRule="auto" w:before="0" w:after="0"/>
        <w:ind w:firstLine="0"/>
      </w:pP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文档版本：V1.0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编制日期：2026年9月15日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开发工具：Trae CN（主力）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适用项目：AI摄影文旅文创（“校长杯”AI+交叉融合实践赛道）</w:t>
      </w:r>
    </w:p>
    <w:p>
      <w:pPr>
        <w:spacing w:line="432" w:lineRule="auto"/>
        <w:ind w:firstLine="0"/>
        <w:jc w:val="center"/>
      </w:pPr>
      <w:r>
        <w:rPr>
          <w:rFonts w:ascii="Arial" w:hAnsi="Arial" w:eastAsia="楷体"/>
          <w:b w:val="0"/>
          <w:i w:val="0"/>
          <w:color w:val="000000"/>
          <w:sz w:val="24"/>
        </w:rPr>
        <w:t>编制单位：项目团队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spacing w:before="280" w:after="120"/>
        <w:ind w:firstLine="0"/>
        <w:jc w:val="center"/>
      </w:pPr>
      <w:r>
        <w:rPr>
          <w:rFonts w:ascii="Arial" w:hAnsi="Arial" w:eastAsia="黑体"/>
          <w:b/>
          <w:i w:val="0"/>
          <w:color w:val="000000"/>
          <w:sz w:val="32"/>
        </w:rPr>
        <w:t>目  录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Arial" w:hAnsi="Arial" w:eastAsia="宋体"/>
          <w:b w:val="0"/>
          <w:i w:val="0"/>
          <w:color w:val="000000"/>
          <w:sz w:val="24"/>
        </w:rPr>
        <w:t>（请在Word中右键更新目录以显示）</w:t>
      </w: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1  总则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1.1  规范目的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本规范约束所有参与AI摄影文旅文创项目施工的智能体（Agent）与人员，统一协作规则，保证开发质量、协作效率与信息安全。项目采用VibeCoding模式，由多个Agent在Trae CN中协同开发，若无统一约束，容易出现越界修改、重复冲突、质量失控等问题。本规范就是解决这些问题的共同契约。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1.2  适用范围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本规范适用于：项目负责人、Trae CN中参与本项目的全部智能体（含内置智能体与自定义智能体）、以及通过其他工具（Trae Work Code模式、豆包等）参与代码与文档工作的任何角色。所有Agent在领取任务前必须阅读本规范，并在任务执行中遵守。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1.3  基本原则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原则一：工单驱动。所有开发工作以《项目具体实施步骤说明书》中的施工工单（编号S0-01至S9-03）为唯一任务来源，一个工单只做一件事，禁止超范围发挥。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原则二：先串行后并行。基础阶段（S0至S3）串行推进，保证每个模块质量稳定；模块独立阶段（S4至S6）在明确边界后可并行，共用文件的操作必须串行。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原则三：验证闭环。每个工单必须完成构建、功能、视觉、回归四级验证后才算完成，未验证不得提交、不得进入下一工单。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原则四：人工把关。Agent负责探索、实现与验证，项目负责人负责方案确认、验收签字与冲突裁决。关键架构决策与最终验收由人决定。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2  工具与智能体约定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2.1  开发工具约定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Trae CN为本项目主力开发工具，负责全部代码编写、多Agent协同与版本管理。Trae Work（Code模式）仅用于查阅历史项目代码与备份恢复，不作为开发主力。若两处代码需要同步，由项目负责人统一执行迁移，任何Agent不得擅自复制或覆盖项目文件。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2.2  模型分工约定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Trae CN内可选择不同模型执行任务，按任务类型分工，避免混用。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表2-1  模型分工约定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任务类型</w:t>
            </w:r>
          </w:p>
        </w:tc>
        <w:tc>
          <w:tcPr>
            <w:tcW w:type="dxa" w:w="260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推荐模型</w:t>
            </w:r>
          </w:p>
        </w:tc>
        <w:tc>
          <w:tcPr>
            <w:tcW w:type="dxa" w:w="362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日常开发、功能实现、重构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Seed-Code系列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成本低、速度快，适合高频迭代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技术文档、注释、规范撰写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GLM系列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中文表达能力强，适合文档类输出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疑难bug排查、复杂逻辑攻坚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DeepSeek系列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推理能力强，适合定位深层问题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若工单中已指定模型，按工单执行；未指定时按上表默认分工。Agent不得因模型选择问题拖延任务，遇到瓶颈及时上报负责人更换模型。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2.3  智能体团队构成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项目智能体团队参照Trae CN内置智能体配置，结合项目需要建立。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表2-2  智能体团队构成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38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来源</w:t>
            </w:r>
          </w:p>
        </w:tc>
        <w:tc>
          <w:tcPr>
            <w:tcW w:type="dxa" w:w="5556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核心职责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技术项目经理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拆分工单、协调进度、汇总风险，向负责人汇报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资深架构师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技术方案设计、模块接口定义、架构审查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资深全栈开发工程师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按工单实现前端功能，是主要编码执行者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资深测试工程师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编写与执行测试、输出验证报告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UI设计总监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页面视觉设计、风格统一把关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技术文档工程师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技术文档、开发日志、参赛材料撰写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网络安全工程师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安全审查、密钥与敏感信息防护</w:t>
            </w:r>
          </w:p>
        </w:tc>
      </w:tr>
      <w:tr>
        <w:trPr>
          <w:cantSplit w:val="true"/>
        </w:trPr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DevOps运维专家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内置</w:t>
            </w:r>
          </w:p>
        </w:tc>
        <w:tc>
          <w:tcPr>
            <w:tcW w:type="dxa" w:w="555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构建、部署、环境问题处理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3  角色职责与边界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3.1  角色职责总表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表3-1  角色职责明细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角色</w:t>
            </w:r>
          </w:p>
        </w:tc>
        <w:tc>
          <w:tcPr>
            <w:tcW w:type="dxa" w:w="4876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职责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输出物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技术项目经理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把工单拆分为可执行任务，分发给对应Agent，跟踪进度，上报风险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任务分配表、进度报告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资深架构师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设计模块结构与接口，审查技术方案，保证模块可拼接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架构文档、接口定义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资深全栈开发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按工单实现代码，保持代码风格统一，自测通过后提交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代码改动、自测记录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资深测试工程师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编写Playwright测试，执行四级验证，输出验证报告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测试用例、验证报告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UI设计总监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设计新页面视觉，检查风格一致性，输出设计规范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设计稿、样式规范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技术文档工程师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撰写与维护技术文档、开发日志、参赛材料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文档、日志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网络安全工程师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审查API密钥、数据存储、权限处理的安全性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安全审查报告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DevOps运维专家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处理依赖安装、构建报错、部署上线问题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环境报告、部署记录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3.2  三角色协作模式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在具体工单执行中，采用Scout、Builder、Verifier三角色分工，避免“既当裁判又当运动员”：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Scout（探索者）：只读代码与文档，输出相关文件清单与上下文摘要，不修改任何文件。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Builder（实施者）：只做实现，按工单约束做最小改动，完成后自报改动清单。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Verifier（验证者）：只做审查，运行构建与测试，输出验证报告，不修改代码。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三角色可对应不同智能体，也可由同一智能体在不同工单中轮换担任，但同一工单内角色不得兼任。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3.3  职责边界与禁止事项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所有Agent必须遵守以下边界：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一是只动自己工单指定的文件。未在工单中列出的文件一律不得修改、删除或移动。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二是禁止擅自扩展范围。发现额外问题时记录并上报，不自行顺手修改。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三是禁止更改项目既有视觉风格。新页面须延续现有梦幻粉紫蓝配色、毛玻璃质感与暗色主题。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四是禁止引入未在工单中要求的依赖。确需新增时先上报负责人批准。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五是禁止直接操作生产部署环境。部署动作由DevOps与负责人执行。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4  协作流程约束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4.1  工单驱动制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任务来源统一为《项目具体实施步骤说明书》中的工单，编号格式为“阶段-序号”，如S2-01。每个工单包含：任务描述、交付物、依赖、验收标准。Agent领取工单后，按“用户-场景-问题-解决方案”四要素理解需求，有歧义先向负责人确认，不得自行假设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4.2  五步工作流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每个工单按五步执行：探索（只读建立上下文）→规划（给出实现方案，负责人确认）→执行（小步实现）→验证（运行构建与测试）→提交（Git提交并记录）。规划环节不得省略，方案未经确认不得动手编码。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4.3  交接与上下文传递规范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Agent向下一环节交接时，输出必须包含四部分：改动文件清单、每处改动原因、验证结果、遗留问题。缺少任一部分视为交接不合格，接收方有权退回。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4.4  串行与并行约束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S0至S3阶段串行执行，前一工单验收通过后才开始后一工单。S4至S6阶段模块独立后可并行，但以下操作必须串行：修改共用文件（router.js、publish.js、index.html、package.json）、运行Git提交、执行部署。并行工单若发生文件冲突，由技术项目经理协调，后完成方负责合并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5  代码与工程约束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5.1  代码风格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项目为Vite加原生JavaScript（ES Modules）工程，无前端框架。所有代码遵守：模块用ES Module（import/export）写法；变量与函数命名语义化；关键算法必须写注释；构图规则与评分等算法用纯函数实现，便于测试；不得使用全局变量污染现有模块（挂window需谨慎并注释原因）。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5.2  依赖管理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现有依赖（gsap、three、@sentry等）保持不变。新增依赖仅限工单明确列出的：tailwindcss、postcss、autoprefixer、@tensorflow/tfjs、@mediapipe/pose、@mediapipe/hands。其他任何依赖必须经负责人批准。Tailwind接入必须关闭preflight（corePlugins: {preflight: false}），防止重置样式破坏现有页面。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5.3  UI与视觉约束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保持Dreamcore视觉体系：粉紫蓝主色调、毛玻璃质感、暗色主题、3D粒子背景。新页面（摄影工坊、修图工作台）沿用现有组件风格（玻璃卡片、圆角、发光效果）。新模块样式与旧模块共存，不推倒重设计。所有新样式优先复用现有CSS变量，不重复定义颜色值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5.4  目录边界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新增代码只能进入以下目录：js/camera、js/composition、js/photo-edit（本次施工新增）；改造代码只能修改工单指定的既有文件（如js/router.js、js/publish.js、js/ai-assistant.js、data/artworks.js）。gesture-pixel目录为参考来源，任何Agent不得修改其中内容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5.5  Git纪律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每个工单一个提交，提交信息格式为“工单号+功能摘要”，例如“S2-01 实现CameraManager相机管理类”。禁止把未经验证的代码直接提交到main分支；开发在feature分支进行，每阶段完成打tag（如v0.1-m1）。Agent提交前必须自查：无调试代码残留、无未使用变量、无敏感信息。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6  安全与合规约束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6.1  API密钥与敏感信息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项目中已有的MiMo API密钥等敏感信息不得外传、不得在文档与聊天中重复展示。新增代码禁止硬编码任何新密钥；如需配置项，统一放入独立配置常量区并在文档中标注“部署时替换”。安全审查由网络安全工程师执行，发现密钥泄露立即报告负责人并回滚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6.2  用户数据与隐私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用户数据存储于IndexedDB本地数据库，Agent不得添加将用户数据外传的代码。相机权限请求必须友好提示，用户拒绝时必须提供上传图片替代入口，不得强制。离开摄影工坊页面必须释放相机资源（停止所有媒体轨道），防止摄像头常亮与资源泄漏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6.3  内容合规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作品与AI生成内容必须符合大赛与平台合规要求，不生成或传播违规内容。AI生成的摄影建议、标签、文案应客观正面，不做虚假宣传。涉及文旅地标与文化的描述必须准确，不得编造史实与数据。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7  验收与质量约束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7.1  四级验证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每个工单交付后执行四级验证：构建验证（npm run build无错误）、功能验证（浏览器实际操作关键路径）、视觉验证（截图检查样式与布局）、回归验证（原有浏览、发布、点赞、收藏、评论、搜索等功能无回归）。验证结果记录在工单验收单中。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7.2  人工审查要点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负责人对AI生成代码必须人工审查以下关键点：数据正确性（评分、标签结果是否符合常识）；业务规则（发布流程是否完整）；权限与敏感信息（相机权限提示是否友好、是否泄露密钥）；资源泄漏（相机流、定时器、事件监听是否释放）；可回滚性（Git提交是否可回退）。审查不通过立即退回修改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7.3  验收签字制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验收必须可复现：验收人实际操作或运行命令后确认，不允许口头通过。工单验收未通过，不得进入下一工单；连续两次验收不通过的工单，由技术项目经理组织复盘定位原因。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8  错误处理与冲突解决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8.1  报错处理规范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Agent遇到报错时：先贴完整报错日志（含堆栈）再讨论，禁止只贴结论；先定位原因再修复，禁止叠加未经验证的改动；同一错误连续两次修复失败，立即上报负责人，更换排查思路，不得反复尝试同一方案。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8.2  验证失败流程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验证失败时按流程处理：Verifier定位失败原因并输出证据→Builder按证据修复→重新执行全部验证→通过后重新提交。修复过程中不得跳过任何验证层级，尤其回归验证必须重跑。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8.3  Agent意见冲突解决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Agent之间对技术方案意见不一致时，按以下优先级裁决：用户明确要求优先于负责人裁决，负责人裁决优先于本规范默认约定。具体流程：双方各自提交方案与依据→技术项目经理组织评审→必要时负责人裁决。任何Agent不得擅自按自己的方案绕过评审执行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8.4  违规处理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违反本规范的Agent任务处理流程：首次违规给予警告并要求整改；二次违规暂停该Agent当前任务并复盘；违规导致代码回滚或数据丢失的，取消该Agent后续任务资格，由负责人重新分配。违规记录写入开发日志。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9  执行与监督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9.1  项目负责人职责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项目负责人负责：按顺序分发工单；确认各工单实现方案；执行人工审查与验收签字；裁决Agent意见冲突；维护本规范版本。负责人不在线时，技术项目经理代行日常协调，重大决策留待负责人确认。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9.2  开发日志与进度记录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每个工单完成后，技术文档工程师在docs/开发日志中记录：工单编号、执行Agent、改动文件、验证结果、遗留问题。每周五更新进度表，标记已完成、进行中、阻塞工单。日志是本项目“从0到1学生主导”的证据，也是参赛材料的组成部分。</w:t>
      </w:r>
    </w:p>
    <w:p>
      <w:pPr>
        <w:pStyle w:val="Heading2"/>
      </w:pPr>
      <w:r>
        <w:rPr>
          <w:rFonts w:ascii="Arial" w:hAnsi="Arial" w:eastAsia="黑体"/>
          <w:b/>
          <w:i w:val="0"/>
          <w:color w:val="000000"/>
          <w:sz w:val="28"/>
        </w:rPr>
        <w:t>9.3  规范更新机制</w:t>
      </w:r>
    </w:p>
    <w:p>
      <w:pPr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本规范变更需项目负责人确认并更新版本号，变更内容在规范末页记录。Agent对规范有改进建议可随时提交技术项目经理，评审后决定是否采纳。规范与施工说明书冲突时，以用户最新指令为准。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附录A  通用Prompt模板</w:t>
      </w:r>
    </w:p>
    <w:p>
      <w:pPr>
        <w:keepNext/>
        <w:spacing w:line="360" w:lineRule="auto" w:before="0" w:after="0"/>
        <w:ind w:firstLine="480"/>
      </w:pPr>
      <w:r>
        <w:rPr>
          <w:rFonts w:ascii="Arial" w:hAnsi="Arial" w:eastAsia="宋体"/>
          <w:b w:val="0"/>
          <w:i w:val="0"/>
          <w:color w:val="000000"/>
          <w:sz w:val="24"/>
        </w:rPr>
        <w:t>以下模板为所有施工Agent的统一任务输入格式，与《项目具体实施步骤说明书》第5章一致。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角色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你是一名&lt;Builder/Scout/Verifier&gt;工程师，负责&lt;本工单目标&gt;。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上下文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项目根目录：&lt;项目路径&gt;；技术栈：Vite 5 + 原生JS（ES Modules）+ IndexedDB。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相关文件：&lt;列出需读取或修改的文件路径&gt;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任务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&lt;用“用户-场景-问题-解决方案”四要素描述需求，一次只做一件事&gt;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输入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&lt;输入数据格式、接口、可参考的实现&gt;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输出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&lt;交付物：文件路径、代码结构、接口签名&gt;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禁止事项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&lt;不得修改未列出的文件；不得改变现有页面样式；不得引入未要求的依赖&gt;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验收标准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&lt;怎样算完成：可运行的命令、可观察的效果、性能指标&gt;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# 完成报告</w:t>
      </w:r>
    </w:p>
    <w:p>
      <w:pPr>
        <w:spacing w:line="276" w:lineRule="auto" w:before="40" w:after="40"/>
        <w:ind w:firstLine="0" w:left="360"/>
      </w:pPr>
      <w:r>
        <w:rPr>
          <w:rFonts w:ascii="Consolas" w:hAnsi="Consolas" w:eastAsia="宋体"/>
          <w:b w:val="0"/>
          <w:i w:val="0"/>
          <w:color w:val="000000"/>
          <w:sz w:val="20"/>
        </w:rPr>
        <w:t>&lt;改动文件清单、每处改动原因、验证结果、遗留问题&gt;</w:t>
      </w:r>
    </w:p>
    <w:p>
      <w:pPr>
        <w:pStyle w:val="Heading1"/>
      </w:pPr>
      <w:r>
        <w:rPr>
          <w:rFonts w:ascii="Arial" w:hAnsi="Arial" w:eastAsia="黑体"/>
          <w:b/>
          <w:i w:val="0"/>
          <w:color w:val="000000"/>
          <w:sz w:val="32"/>
        </w:rPr>
        <w:t>附录B  工单编号与阶段速查</w:t>
      </w:r>
    </w:p>
    <w:p>
      <w:pPr>
        <w:keepNext/>
        <w:spacing w:line="360" w:lineRule="auto" w:before="80" w:after="120"/>
        <w:ind w:firstLine="0"/>
        <w:jc w:val="center"/>
      </w:pPr>
      <w:r>
        <w:rPr>
          <w:rFonts w:ascii="Arial" w:hAnsi="Arial" w:eastAsia="宋体"/>
          <w:b/>
          <w:i w:val="0"/>
          <w:color w:val="000000"/>
          <w:sz w:val="21"/>
        </w:rPr>
        <w:t>表B-1  施工阶段与工单范围速查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阶段</w:t>
            </w:r>
          </w:p>
        </w:tc>
        <w:tc>
          <w:tcPr>
            <w:tcW w:type="dxa" w:w="306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工单范围</w:t>
            </w:r>
          </w:p>
        </w:tc>
        <w:tc>
          <w:tcPr>
            <w:tcW w:type="dxa" w:w="1361"/>
            <w:vAlign w:val="center"/>
            <w:shd w:val="clear" w:color="auto" w:fill="D9D9D9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串并行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S0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环境准备与基线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S0-01至S0-02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串行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项目骨架与依赖接入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S1-01至S1-05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串行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相机交互层Demo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S2-01至S2-04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串行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构图算法库Demo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S3-01至S3-04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串行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S4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MediaPipe主体识别Demo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S4-01至S4-03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可并行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S5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AI后期修图Demo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S5-01至S5-04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可并行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S6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拼接融合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S6-01至S6-04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串行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S7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AI教练改造与数据扩展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S7-01至S7-03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串行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S8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测试与性能验证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S8-01至S8-03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可并行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S9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部署与比赛材料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S9-01至S9-03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串行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rPr>
        <w:rFonts w:ascii="Arial" w:hAnsi="Arial" w:eastAsia="宋体"/>
        <w:b w:val="0"/>
        <w:i w:val="0"/>
        <w:color w:val="000000"/>
        <w:sz w:val="21"/>
      </w:rP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