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/>
      </w:pPr>
      <w:r>
        <w:rPr>
          <w:rFonts w:ascii="Varela Round" w:hAnsi="Varela Round" w:cs="Varela Round"/>
          <w:b w:val="0"/>
          <w:i w:val="0"/>
          <w:color w:val="399444"/>
          <w:spacing w:val="24"/>
          <w:sz w:val="18"/>
        </w:rPr>
        <w:t>SOLICITAÇÃO DE MELHORIA</w:t>
      </w:r>
    </w:p>
    <w:p>
      <w:pPr>
        <w:keepNext/>
        <w:spacing w:before="0" w:after="260"/>
      </w:pPr>
      <w:r>
        <w:rPr>
          <w:rFonts w:ascii="Kodchasan" w:hAnsi="Kodchasan" w:cs="Kodchasan"/>
          <w:b/>
          <w:i w:val="0"/>
          <w:color w:val="116533"/>
          <w:sz w:val="48"/>
        </w:rPr>
        <w:t>Escopo de Melhoria</w:t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IDENTIFICAÇÃO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tbl>
      <w:tblPr>
        <w:tblW w:w="9300" w:type="dxa"/>
        <w:jc w:val="center"/>
        <w:tblBorders>
          <w:top w:val="single" w:sz="4" w:space="0" w:color="C5CCC6"/>
          <w:left w:val="single" w:sz="4" w:space="0" w:color="C5CCC6"/>
          <w:bottom w:val="single" w:sz="4" w:space="0" w:color="C5CCC6"/>
          <w:right w:val="single" w:sz="4" w:space="0" w:color="C5CCC6"/>
          <w:insideH w:val="single" w:sz="4" w:space="0" w:color="C5CCC6"/>
          <w:insideV w:val="single" w:sz="4" w:space="0" w:color="C5CCC6"/>
        </w:tblBorders>
        <w:tblLayout w:type="fixed"/>
        <w:tblLook w:firstColumn="1" w:firstRow="1" w:lastColumn="0" w:lastRow="0" w:noHBand="0" w:noVBand="1" w:val="04A0"/>
      </w:tblPr>
      <w:tblGrid>
        <w:gridCol w:w="4650"/>
        <w:gridCol w:w="4650"/>
      </w:tblGrid>
      <w:tr>
        <w:trPr>
          <w:cantSplit w:val="true"/>
        </w:trPr>
        <w:tc>
          <w:tcPr>
            <w:tcW w:type="dxa" w:w="4650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Título da melhoria:</w:t>
            </w:r>
          </w:p>
        </w:tc>
        <w:tc>
          <w:tcPr>
            <w:tcW w:type="dxa" w:w="4650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cantSplit w:val="true"/>
        </w:trPr>
        <w:tc>
          <w:tcPr>
            <w:tcW w:type="dxa" w:w="4650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Categoria:</w:t>
            </w:r>
          </w:p>
        </w:tc>
        <w:tc>
          <w:tcPr>
            <w:tcW w:type="dxa" w:w="4650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 w:val="0"/>
                <w:i w:val="0"/>
                <w:color w:val="2A3A2D"/>
                <w:sz w:val="20"/>
              </w:rPr>
              <w:t>(Infraestrutura │ Sistema │ Dados │ Segurança)</w:t>
            </w:r>
          </w:p>
        </w:tc>
      </w:tr>
      <w:tr>
        <w:trPr>
          <w:cantSplit w:val="true"/>
        </w:trPr>
        <w:tc>
          <w:tcPr>
            <w:tcW w:type="dxa" w:w="4650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Sistema/Serviço afetado:</w:t>
            </w:r>
          </w:p>
        </w:tc>
        <w:tc>
          <w:tcPr>
            <w:tcW w:type="dxa" w:w="4650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 w:val="0"/>
                <w:i w:val="0"/>
                <w:color w:val="2A3A2D"/>
                <w:sz w:val="20"/>
              </w:rPr>
              <w:t>(Datasul │ Fluig │ Rede │ Internet │ BI)</w:t>
            </w:r>
          </w:p>
        </w:tc>
      </w:tr>
      <w:tr>
        <w:trPr>
          <w:cantSplit w:val="true"/>
        </w:trPr>
        <w:tc>
          <w:tcPr>
            <w:tcW w:type="dxa" w:w="4650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Solicitante:</w:t>
            </w:r>
          </w:p>
        </w:tc>
        <w:tc>
          <w:tcPr>
            <w:tcW w:type="dxa" w:w="4650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cantSplit w:val="true"/>
        </w:trPr>
        <w:tc>
          <w:tcPr>
            <w:tcW w:type="dxa" w:w="4650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Área de negócio:</w:t>
            </w:r>
          </w:p>
        </w:tc>
        <w:tc>
          <w:tcPr>
            <w:tcW w:type="dxa" w:w="4650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 w:val="0"/>
                <w:i w:val="0"/>
                <w:color w:val="2A3A2D"/>
                <w:sz w:val="20"/>
              </w:rPr>
              <w:t>(Tesouraria │ Biomassa │ Manutenção │ TI)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6"/>
        </w:rPr>
      </w:r>
    </w:p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22"/>
        </w:rPr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HISTÓRICO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tbl>
      <w:tblPr>
        <w:tblW w:w="9300" w:type="dxa"/>
        <w:jc w:val="center"/>
        <w:tblBorders>
          <w:top w:val="single" w:sz="4" w:space="0" w:color="C5CCC6"/>
          <w:left w:val="single" w:sz="4" w:space="0" w:color="C5CCC6"/>
          <w:bottom w:val="single" w:sz="4" w:space="0" w:color="C5CCC6"/>
          <w:right w:val="single" w:sz="4" w:space="0" w:color="C5CCC6"/>
          <w:insideH w:val="single" w:sz="4" w:space="0" w:color="C5CCC6"/>
          <w:insideV w:val="single" w:sz="4" w:space="0" w:color="C5CCC6"/>
        </w:tblBorders>
        <w:tblLayout w:type="fixed"/>
        <w:tblLook w:firstColumn="1" w:firstRow="1" w:lastColumn="0" w:lastRow="0" w:noHBand="0" w:noVBand="1" w:val="04A0"/>
      </w:tblPr>
      <w:tblGrid>
        <w:gridCol w:w="2325"/>
        <w:gridCol w:w="2325"/>
        <w:gridCol w:w="2325"/>
        <w:gridCol w:w="2325"/>
      </w:tblGrid>
      <w:tr>
        <w:trPr>
          <w:cantSplit w:val="true"/>
        </w:trPr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Criado por:</w:t>
            </w:r>
          </w:p>
        </w:tc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Data criação:</w:t>
            </w:r>
          </w:p>
        </w:tc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cantSplit w:val="true"/>
        </w:trPr>
        <w:tc>
          <w:tcPr>
            <w:tcW w:type="dxa" w:w="2325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Atualizado por:</w:t>
            </w:r>
          </w:p>
        </w:tc>
        <w:tc>
          <w:tcPr>
            <w:tcW w:type="dxa" w:w="2325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325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Data última atualização:</w:t>
            </w:r>
          </w:p>
        </w:tc>
        <w:tc>
          <w:tcPr>
            <w:tcW w:type="dxa" w:w="2325"/>
            <w:shd w:val="clear" w:color="auto" w:fill="F2F4F1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rPr>
          <w:cantSplit w:val="true"/>
        </w:trPr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Aprovado por:</w:t>
            </w:r>
          </w:p>
        </w:tc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0F1A11"/>
                <w:sz w:val="21"/>
              </w:rPr>
              <w:t>Data aprovação:</w:t>
            </w:r>
          </w:p>
        </w:tc>
        <w:tc>
          <w:tcPr>
            <w:tcW w:type="dxa" w:w="2325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6"/>
        </w:rPr>
      </w:r>
    </w:p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22"/>
        </w:rPr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OBJETIVO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p>
      <w:pPr>
        <w:spacing w:before="0" w:after="160"/>
      </w:pPr>
      <w:r>
        <w:rPr>
          <w:rFonts w:ascii="Varela Round" w:hAnsi="Varela Round" w:cs="Varela Round"/>
          <w:b w:val="0"/>
          <w:i/>
          <w:color w:val="4E5B50"/>
          <w:sz w:val="19"/>
        </w:rPr>
        <w:t>Descrever de forma clara: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Qual oportunidade de melhoria foi identificada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Qual o resultado esperado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Qual o benefício que esta melhoria traz para a área/empresa</w:t>
      </w:r>
    </w:p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22"/>
        </w:rPr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CENÁRIO ATUAL (AS-IS)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p>
      <w:pPr>
        <w:spacing w:before="0" w:after="160"/>
      </w:pPr>
      <w:r>
        <w:rPr>
          <w:rFonts w:ascii="Varela Round" w:hAnsi="Varela Round" w:cs="Varela Round"/>
          <w:b w:val="0"/>
          <w:i/>
          <w:color w:val="4E5B50"/>
          <w:sz w:val="19"/>
        </w:rPr>
        <w:t>Descrever como o processo/sistema funciona hoje: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Fluxo atual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Ferramentas envolvidas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Pontos de dor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Impactos negativos</w:t>
      </w:r>
    </w:p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22"/>
        </w:rPr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CENÁRIO PROPOSTO (TO-BE)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p>
      <w:pPr>
        <w:spacing w:before="0" w:after="160"/>
      </w:pPr>
      <w:r>
        <w:rPr>
          <w:rFonts w:ascii="Varela Round" w:hAnsi="Varela Round" w:cs="Varela Round"/>
          <w:b w:val="0"/>
          <w:i/>
          <w:color w:val="4E5B50"/>
          <w:sz w:val="19"/>
        </w:rPr>
        <w:t>Descrever como ficará após a melhoria: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Novo fluxo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Mudanças técnicas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Alterações em sistemas</w:t>
      </w:r>
    </w:p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22"/>
        </w:rPr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ESCOPO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p>
      <w:pPr>
        <w:spacing w:before="0" w:after="160"/>
      </w:pPr>
      <w:r>
        <w:rPr>
          <w:rFonts w:ascii="Varela Round" w:hAnsi="Varela Round" w:cs="Varela Round"/>
          <w:b w:val="0"/>
          <w:i/>
          <w:color w:val="4E5B50"/>
          <w:sz w:val="19"/>
        </w:rPr>
        <w:t>Descrever o escopo da melhoria em linguagem de negócio — sem tabelas de campos, endpoints ou detalhe técnico, pois o solicitante irá dar o aceite sobre este texto.</w:t>
      </w:r>
    </w:p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22"/>
        </w:rPr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116533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Kodchasan" w:hAnsi="Kodchasan" w:cs="Kodchasan"/>
                <w:b/>
                <w:i w:val="0"/>
                <w:color w:val="FFFFFF"/>
                <w:spacing w:val="12"/>
                <w:sz w:val="22"/>
              </w:rPr>
              <w:t>CRITÉRIOS DE ACEITE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2"/>
        </w:rPr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Funcionalidades entregues conforme escopo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Testes validados</w:t>
      </w:r>
    </w:p>
    <w:p>
      <w:pPr>
        <w:numPr>
          <w:ilvl w:val="0"/>
          <w:numId w:val="900"/>
        </w:numPr>
        <w:spacing w:before="0" w:after="90"/>
        <w:ind w:left="360"/>
      </w:pPr>
      <w:r>
        <w:rPr>
          <w:rFonts w:ascii="Kodchasan" w:hAnsi="Kodchasan" w:cs="Kodchasan"/>
          <w:b w:val="0"/>
          <w:i w:val="0"/>
          <w:color w:val="2A3A2D"/>
          <w:sz w:val="21"/>
        </w:rPr>
        <w:t>Aprovação do solicitante para atualização em Produção</w:t>
      </w:r>
    </w:p>
    <w:tbl>
      <w:tblPr>
        <w:tblW w:w="93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00"/>
      </w:tblGrid>
      <w:tr>
        <w:tc>
          <w:tcPr>
            <w:tcW w:type="dxa" w:w="9300"/>
            <w:shd w:val="clear" w:color="auto" w:fill="F2F4F1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left w:val="single" w:sz="24" w:space="0" w:color="BF882D"/>
            </w:tcBorders>
          </w:tcPr>
          <w:p>
            <w:pPr>
              <w:spacing w:before="0" w:after="0"/>
            </w:pPr>
            <w:r>
              <w:rPr>
                <w:rFonts w:ascii="Kodchasan" w:hAnsi="Kodchasan" w:cs="Kodchasan"/>
                <w:b w:val="0"/>
                <w:i w:val="0"/>
                <w:color w:val="2A3A2D"/>
                <w:sz w:val="20"/>
              </w:rPr>
              <w:t>A confirmar com a TI: itens sem definição fechada permanecem marcados aqui e são registrados em Pendências. Execução, publicação e homologação seguem pelo ServiceUP.</w:t>
            </w:r>
          </w:p>
        </w:tc>
      </w:tr>
    </w:tbl>
    <w:p>
      <w:pPr>
        <w:spacing w:before="0" w:after="0" w:line="240" w:lineRule="auto"/>
      </w:pPr>
      <w:r>
        <w:rPr>
          <w:rFonts w:ascii="Kodchasan" w:hAnsi="Kodchasan" w:cs="Kodchasan"/>
          <w:b w:val="0"/>
          <w:i w:val="0"/>
          <w:color w:val="FFFFFF"/>
          <w:sz w:val="1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6" w:color="399444"/>
      </w:pBdr>
      <w:tabs>
        <w:tab w:pos="9026" w:val="right"/>
      </w:tabs>
      <w:spacing w:before="40" w:after="0"/>
    </w:pPr>
    <w:r>
      <w:rPr>
        <w:rFonts w:ascii="Varela Round" w:hAnsi="Varela Round" w:cs="Varela Round"/>
        <w:b w:val="0"/>
        <w:i w:val="0"/>
        <w:color w:val="4E5B50"/>
        <w:sz w:val="16"/>
      </w:rPr>
      <w:t>ComBio Energia</w:t>
      <w:tab/>
    </w:r>
    <w:r>
      <w:rPr>
        <w:rFonts w:ascii="Varela Round" w:hAnsi="Varela Round" w:cs="Varela Round"/>
        <w:b w:val="0"/>
        <w:i w:val="0"/>
        <w:color w:val="4E5B50"/>
        <w:sz w:val="16"/>
      </w:rPr>
      <w:t xml:space="preserve">Página </w:t>
    </w:r>
    <w:r>
      <w:rPr>
        <w:rFonts w:ascii="Varela Round" w:hAnsi="Varela Round" w:cs="Varela Round"/>
        <w:b w:val="0"/>
        <w:i w:val="0"/>
        <w:color w:val="4E5B50"/>
        <w:sz w:val="16"/>
      </w:rPr>
      <w:fldChar w:fldCharType="begin"/>
    </w:r>
    <w:r>
      <w:rPr>
        <w:rFonts w:ascii="Varela Round" w:hAnsi="Varela Round" w:cs="Varela Round"/>
        <w:b w:val="0"/>
        <w:i w:val="0"/>
        <w:color w:val="4E5B50"/>
        <w:sz w:val="16"/>
      </w:rPr>
      <w:instrText xml:space="preserve"> PAGE </w:instrText>
    </w:r>
    <w:r>
      <w:rPr>
        <w:rFonts w:ascii="Varela Round" w:hAnsi="Varela Round" w:cs="Varela Round"/>
        <w:b w:val="0"/>
        <w:i w:val="0"/>
        <w:color w:val="4E5B50"/>
        <w:sz w:val="16"/>
      </w:rPr>
      <w:fldChar w:fldCharType="end"/>
    </w:r>
    <w:r>
      <w:rPr>
        <w:rFonts w:ascii="Varela Round" w:hAnsi="Varela Round" w:cs="Varela Round"/>
        <w:b w:val="0"/>
        <w:i w:val="0"/>
        <w:color w:val="4E5B50"/>
        <w:sz w:val="16"/>
      </w:rPr>
      <w:t xml:space="preserve"> de </w:t>
    </w:r>
    <w:r>
      <w:rPr>
        <w:rFonts w:ascii="Varela Round" w:hAnsi="Varela Round" w:cs="Varela Round"/>
        <w:b w:val="0"/>
        <w:i w:val="0"/>
        <w:color w:val="4E5B50"/>
        <w:sz w:val="16"/>
      </w:rPr>
      <w:fldChar w:fldCharType="begin"/>
    </w:r>
    <w:r>
      <w:rPr>
        <w:rFonts w:ascii="Varela Round" w:hAnsi="Varela Round" w:cs="Varela Round"/>
        <w:b w:val="0"/>
        <w:i w:val="0"/>
        <w:color w:val="4E5B50"/>
        <w:sz w:val="16"/>
      </w:rPr>
      <w:instrText xml:space="preserve"> NUMPAGES </w:instrText>
    </w:r>
    <w:r>
      <w:rPr>
        <w:rFonts w:ascii="Varela Round" w:hAnsi="Varela Round" w:cs="Varela Round"/>
        <w:b w:val="0"/>
        <w:i w:val="0"/>
        <w:color w:val="4E5B5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space="8" w:color="399444"/>
      </w:pBdr>
      <w:tabs>
        <w:tab w:pos="9026" w:val="right"/>
      </w:tabs>
      <w:spacing w:before="0" w:after="60"/>
    </w:pPr>
    <w:r>
      <w:drawing>
        <wp:inline xmlns:a="http://schemas.openxmlformats.org/drawingml/2006/main" xmlns:pic="http://schemas.openxmlformats.org/drawingml/2006/picture">
          <wp:extent cx="1143000" cy="247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mbi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2476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Kodchasan" w:hAnsi="Kodchasan" w:cs="Kodchasan"/>
        <w:b/>
        <w:i w:val="0"/>
        <w:color w:val="116533"/>
        <w:sz w:val="26"/>
      </w:rPr>
      <w:tab/>
      <w:t>ESCOPO DE MELHORIA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">
    <w:multiLevelType w:val="hybridMultilevel"/>
    <w:lvl w:ilvl="0">
      <w:start w:val="1"/>
      <w:numFmt w:val="bullet"/>
      <w:lvlText w:val="●"/>
      <w:lvlJc w:val="left"/>
      <w:pPr>
        <w:ind w:left="360" w:hanging="200"/>
      </w:pPr>
      <w:rPr>
        <w:rFonts w:ascii="Kodchasan" w:hAnsi="Kodchasan" w:hint="default"/>
        <w:sz w:val="16"/>
      </w:rPr>
    </w:lvl>
    <w:lvl w:ilvl="1">
      <w:start w:val="1"/>
      <w:numFmt w:val="bullet"/>
      <w:lvlText w:val="○"/>
      <w:lvlJc w:val="left"/>
      <w:pPr>
        <w:ind w:left="720" w:hanging="200"/>
      </w:pPr>
      <w:rPr>
        <w:rFonts w:ascii="Kodchasan" w:hAnsi="Kodchasan" w:hint="default"/>
        <w:sz w:val="16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6" w:lineRule="auto"/>
    </w:pPr>
    <w:rPr>
      <w:rFonts w:ascii="Kodchasan" w:hAnsi="Kodchasan" w:cs="Kodchasan"/>
      <w:color w:val="2A3A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Gerado pela skill combio-escopo-docx v1.1.0</dc:description>
  <cp:lastModifiedBy/>
  <cp:revision>1</cp:revision>
  <dcterms:created xsi:type="dcterms:W3CDTF">2013-12-23T23:15:00Z</dcterms:created>
  <dcterms:modified xsi:type="dcterms:W3CDTF">2013-12-23T23:15:00Z</dcterms:modified>
  <cp:category>ComBio Energia — documento de escopo/entrega</cp:category>
</cp:coreProperties>
</file>