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eformateado"/>
        <w:bidi w:val="0"/>
        <w:spacing w:before="0" w:after="0"/>
        <w:jc w:val="left"/>
        <w:rPr/>
      </w:pPr>
      <w:r>
        <w:rPr/>
        <w:t># Ecosistema y Mockups - Menu Bites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1. Arquitectura de Servicios (Monorepo)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El sistema opera como un ecosistema de micro-servicios integrados en un monorepo, permitiendo la escalabilidad independiente de cada módulo.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Portal del Cliente (:3005)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Acceso público para clientes finales. Permite visualizar el menú, realizar pedidos y pagar.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![Portal del Cliente Real](Diagramas/img/ecosistema_cliente.png)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Admin Dashboard (:3000) - SuperAdmin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Panel central de administración global para dueños de la cadena y SuperAdministradores.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![Acceso SuperAdmin](Diagramas/img/ecosistema_admin.png)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Dashboard Local (:3003) - Administrador de Local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Gestión específica de un local: inventario, personal y configuración de mesas.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![Panel Local](Diagramas/img/ecosistema_local.png)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Terminal de Garzón (:3002) - Operativo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Interfaz optimizada para dispositivos móviles/tablets para la toma de pedidos en mesa.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![Terminal Garzón](Diagramas/img/ecosistema_garzon.png)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Panel de Caja (:3004) - Finanzas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Gestión de cierres de mesa, facturación y medios de pago.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![Panel de Caja](Diagramas/img/ecosistema_cajero.png)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2. Flujo de Experiencia UX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![User Journey](Diagramas/img/user_journey.png)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/>
</cp:coreProperties>
</file>