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73387" w14:textId="1FC58EBF" w:rsidR="00863362" w:rsidRDefault="0008754F" w:rsidP="00C87471">
      <w:pPr>
        <w:jc w:val="both"/>
      </w:pPr>
      <w:r>
        <w:t>Methods</w:t>
      </w:r>
    </w:p>
    <w:p w14:paraId="7901FB4B" w14:textId="77777777" w:rsidR="0008754F" w:rsidRDefault="0008754F" w:rsidP="00C87471">
      <w:pPr>
        <w:jc w:val="both"/>
      </w:pPr>
    </w:p>
    <w:p w14:paraId="5C125824" w14:textId="370FB657" w:rsidR="0008754F" w:rsidRDefault="00F75284" w:rsidP="00C87471">
      <w:pPr>
        <w:jc w:val="both"/>
        <w:rPr>
          <w:i/>
        </w:rPr>
      </w:pPr>
      <w:r w:rsidRPr="00F75284">
        <w:rPr>
          <w:i/>
        </w:rPr>
        <w:t>Generation of our 212.4Mb assembly by post-filtering of our raw 252Mb assembly.</w:t>
      </w:r>
    </w:p>
    <w:p w14:paraId="70D303FD" w14:textId="28AB13A5" w:rsidR="00F75284" w:rsidRPr="00E67424" w:rsidRDefault="00E67424" w:rsidP="00C87471">
      <w:pPr>
        <w:jc w:val="both"/>
      </w:pPr>
      <w:r>
        <w:t xml:space="preserve">All predicted proteins from our 252Mb assembly were used as input for </w:t>
      </w:r>
      <w:proofErr w:type="spellStart"/>
      <w:r>
        <w:t>BLASTp</w:t>
      </w:r>
      <w:proofErr w:type="spellEnd"/>
      <w:r>
        <w:t xml:space="preserve"> against NCBI’s nr protein database. The top hit for each predicted protein was used as input into Galaxy </w:t>
      </w:r>
      <w:proofErr w:type="gramStart"/>
      <w:r>
        <w:t>tool’s</w:t>
      </w:r>
      <w:proofErr w:type="gramEnd"/>
      <w:r>
        <w:t xml:space="preserve"> </w:t>
      </w:r>
      <w:r w:rsidR="003B427C">
        <w:t>Fetch taxonomic representation and Summarize taxonomy tools</w:t>
      </w:r>
      <w:r>
        <w:t>.</w:t>
      </w:r>
      <w:r w:rsidR="00302832">
        <w:t xml:space="preserve"> </w:t>
      </w:r>
      <w:r w:rsidR="00975D44">
        <w:t>Scaffolds with &gt;10 genes all of bacterial origin were removed from our 252Mb assembly, resulting in a post-filtered assembly of 212.4Mb</w:t>
      </w:r>
      <w:r w:rsidR="00BB2ED3">
        <w:t xml:space="preserve"> </w:t>
      </w:r>
      <w:r w:rsidR="00F74653">
        <w:t xml:space="preserve">analyzed in </w:t>
      </w:r>
      <w:r w:rsidR="00BB2ED3">
        <w:t>(</w:t>
      </w:r>
      <w:r w:rsidR="00F74653">
        <w:t>Boothby et al., 2015</w:t>
      </w:r>
      <w:r w:rsidR="00BB2ED3">
        <w:t>)</w:t>
      </w:r>
      <w:r w:rsidR="00975D44">
        <w:t>.</w:t>
      </w:r>
      <w:r>
        <w:t xml:space="preserve"> </w:t>
      </w:r>
    </w:p>
    <w:p w14:paraId="6A4CFFB0" w14:textId="77777777" w:rsidR="00F75284" w:rsidRDefault="00F75284" w:rsidP="00C87471">
      <w:pPr>
        <w:jc w:val="both"/>
        <w:rPr>
          <w:i/>
        </w:rPr>
      </w:pPr>
    </w:p>
    <w:p w14:paraId="26F9E9AB" w14:textId="1AC9F551" w:rsidR="00F75284" w:rsidRDefault="00F75284" w:rsidP="00C87471">
      <w:pPr>
        <w:jc w:val="both"/>
        <w:rPr>
          <w:i/>
        </w:rPr>
      </w:pPr>
      <w:r>
        <w:rPr>
          <w:i/>
        </w:rPr>
        <w:t>HGT index analysis</w:t>
      </w:r>
    </w:p>
    <w:p w14:paraId="5C85F9B8" w14:textId="572E573A" w:rsidR="00F75284" w:rsidRPr="007B7AB9" w:rsidRDefault="005D3314" w:rsidP="00C87471">
      <w:pPr>
        <w:jc w:val="both"/>
      </w:pPr>
      <w:r>
        <w:t xml:space="preserve">Gene Ids for </w:t>
      </w:r>
      <w:proofErr w:type="spellStart"/>
      <w:r>
        <w:t>m</w:t>
      </w:r>
      <w:r w:rsidR="00CA15AF">
        <w:t>etazoa</w:t>
      </w:r>
      <w:proofErr w:type="spellEnd"/>
      <w:r w:rsidR="00CA15AF">
        <w:t>,</w:t>
      </w:r>
      <w:r>
        <w:t xml:space="preserve"> b</w:t>
      </w:r>
      <w:r w:rsidR="00CA15AF">
        <w:t xml:space="preserve">acteria, </w:t>
      </w:r>
      <w:r>
        <w:t>p</w:t>
      </w:r>
      <w:r w:rsidR="00CA15AF">
        <w:t xml:space="preserve">lants, </w:t>
      </w:r>
      <w:r>
        <w:t>f</w:t>
      </w:r>
      <w:r w:rsidR="00CA15AF">
        <w:t xml:space="preserve">ungi, and </w:t>
      </w:r>
      <w:r>
        <w:t>a</w:t>
      </w:r>
      <w:r w:rsidR="00CA15AF">
        <w:t xml:space="preserve">rchaea were download from NCBI’s protein database. Database aliases were generated using NCBI’s </w:t>
      </w:r>
      <w:proofErr w:type="spellStart"/>
      <w:r w:rsidR="00F74653">
        <w:t>blastdb_aliastool</w:t>
      </w:r>
      <w:proofErr w:type="spellEnd"/>
      <w:r w:rsidR="00F74653">
        <w:t xml:space="preserve">. Predicted </w:t>
      </w:r>
      <w:r w:rsidR="00CA15AF">
        <w:t>protein sequences for each ass</w:t>
      </w:r>
      <w:r w:rsidR="00F74653">
        <w:t xml:space="preserve">embly were used as query for </w:t>
      </w:r>
      <w:proofErr w:type="spellStart"/>
      <w:r w:rsidR="00F74653">
        <w:t>BLASTp</w:t>
      </w:r>
      <w:proofErr w:type="spellEnd"/>
      <w:r w:rsidR="00F74653">
        <w:t xml:space="preserve"> (BLAST 2.3.0+ - with default parameters)</w:t>
      </w:r>
      <w:r>
        <w:t xml:space="preserve"> searches against metazoan, bacterial, plant, fungi, and archaea databases. The top hit for each </w:t>
      </w:r>
      <w:proofErr w:type="spellStart"/>
      <w:r>
        <w:t>tardigrade</w:t>
      </w:r>
      <w:proofErr w:type="spellEnd"/>
      <w:r>
        <w:t xml:space="preserve"> sequence from each database were used to perform HGT index calculations.</w:t>
      </w:r>
      <w:r w:rsidR="00F74653">
        <w:t xml:space="preserve"> Only hits with an </w:t>
      </w:r>
      <w:proofErr w:type="spellStart"/>
      <w:r w:rsidR="00F74653">
        <w:t>Evalue</w:t>
      </w:r>
      <w:proofErr w:type="spellEnd"/>
      <w:r w:rsidR="00F74653">
        <w:t xml:space="preserve"> &lt;=1e-5 were retained. As in </w:t>
      </w:r>
      <w:proofErr w:type="spellStart"/>
      <w:r w:rsidR="00F74653">
        <w:t>Boschetti</w:t>
      </w:r>
      <w:proofErr w:type="spellEnd"/>
      <w:r w:rsidR="00F74653">
        <w:t xml:space="preserve"> </w:t>
      </w:r>
      <w:r w:rsidR="00F74653" w:rsidRPr="001E6737">
        <w:rPr>
          <w:i/>
        </w:rPr>
        <w:t>et al</w:t>
      </w:r>
      <w:r w:rsidR="00F74653">
        <w:t xml:space="preserve">., 2012, sequences with no hits with </w:t>
      </w:r>
      <w:proofErr w:type="spellStart"/>
      <w:r w:rsidR="00F74653">
        <w:t>Evalue</w:t>
      </w:r>
      <w:proofErr w:type="spellEnd"/>
      <w:r w:rsidR="00F74653">
        <w:t xml:space="preserve"> &lt;=1e-5 were excluded from further analysis.</w:t>
      </w:r>
      <w:r>
        <w:t xml:space="preserve"> HGT calculations for each gene were performed by </w:t>
      </w:r>
      <w:r w:rsidR="001E6737">
        <w:t>subtracting the</w:t>
      </w:r>
      <w:r>
        <w:t xml:space="preserve"> maximum </w:t>
      </w:r>
      <w:r w:rsidR="001E6737">
        <w:t xml:space="preserve">metazoan </w:t>
      </w:r>
      <w:proofErr w:type="spellStart"/>
      <w:r w:rsidR="001E6737">
        <w:t>bitscore</w:t>
      </w:r>
      <w:proofErr w:type="spellEnd"/>
      <w:r w:rsidR="001E6737">
        <w:t xml:space="preserve"> from the maximum </w:t>
      </w:r>
      <w:r>
        <w:t xml:space="preserve">non-metazoan (max non-metazoan </w:t>
      </w:r>
      <w:proofErr w:type="spellStart"/>
      <w:r>
        <w:t>bitscore</w:t>
      </w:r>
      <w:proofErr w:type="spellEnd"/>
      <w:r>
        <w:t xml:space="preserve"> – max metazoan </w:t>
      </w:r>
      <w:proofErr w:type="spellStart"/>
      <w:r>
        <w:t>bitscore</w:t>
      </w:r>
      <w:proofErr w:type="spellEnd"/>
      <w:r>
        <w:t>). Genes with an HGT index score &gt;</w:t>
      </w:r>
      <w:r w:rsidR="00F74653">
        <w:t>=</w:t>
      </w:r>
      <w:r>
        <w:t xml:space="preserve">30 were considered </w:t>
      </w:r>
      <w:r w:rsidR="00F74653">
        <w:t>foreign</w:t>
      </w:r>
      <w:r>
        <w:t>.</w:t>
      </w:r>
    </w:p>
    <w:p w14:paraId="50D4E65D" w14:textId="77777777" w:rsidR="00F75284" w:rsidRDefault="00F75284" w:rsidP="00C87471">
      <w:pPr>
        <w:jc w:val="both"/>
        <w:rPr>
          <w:i/>
        </w:rPr>
      </w:pPr>
    </w:p>
    <w:p w14:paraId="129651A2" w14:textId="2762F880" w:rsidR="00F75284" w:rsidRDefault="00CA15AF" w:rsidP="00C87471">
      <w:pPr>
        <w:jc w:val="both"/>
        <w:rPr>
          <w:i/>
        </w:rPr>
      </w:pPr>
      <w:r>
        <w:rPr>
          <w:i/>
        </w:rPr>
        <w:t>Identification of genes with prokaryotic but not eukaryotic genes</w:t>
      </w:r>
    </w:p>
    <w:p w14:paraId="091FE363" w14:textId="1AE40E6F" w:rsidR="00CA15AF" w:rsidRDefault="00CA15AF" w:rsidP="00C87471">
      <w:pPr>
        <w:jc w:val="both"/>
      </w:pPr>
      <w:r>
        <w:t>Output from HGT index analysis was parsed to identify genes with a hit to bacteria and/or archaea, but not to metazoan, plant, or fungal sequences in the nr protein database.</w:t>
      </w:r>
    </w:p>
    <w:p w14:paraId="38BBEE53" w14:textId="77777777" w:rsidR="001E6737" w:rsidRDefault="001E6737" w:rsidP="00C87471">
      <w:pPr>
        <w:jc w:val="both"/>
      </w:pPr>
    </w:p>
    <w:p w14:paraId="1CB2AE89" w14:textId="2C5770C8" w:rsidR="001E6737" w:rsidRDefault="001E6737" w:rsidP="00C87471">
      <w:pPr>
        <w:jc w:val="both"/>
        <w:rPr>
          <w:i/>
        </w:rPr>
      </w:pPr>
      <w:r>
        <w:rPr>
          <w:i/>
        </w:rPr>
        <w:t>Identification of Class C foreign genes</w:t>
      </w:r>
    </w:p>
    <w:p w14:paraId="0DDE8315" w14:textId="6E7B460F" w:rsidR="001E6737" w:rsidRPr="001E6737" w:rsidRDefault="001E6737" w:rsidP="00C87471">
      <w:pPr>
        <w:jc w:val="both"/>
      </w:pPr>
      <w:r>
        <w:t xml:space="preserve">Class C genes were identified according to the methods detailed in Crisp </w:t>
      </w:r>
      <w:r>
        <w:rPr>
          <w:i/>
        </w:rPr>
        <w:t xml:space="preserve">et al., </w:t>
      </w:r>
      <w:r>
        <w:t xml:space="preserve">2015. HGT index scores were calculated as detailed above and in </w:t>
      </w:r>
      <w:proofErr w:type="spellStart"/>
      <w:r>
        <w:t>Boschetti</w:t>
      </w:r>
      <w:proofErr w:type="spellEnd"/>
      <w:r>
        <w:t xml:space="preserve"> </w:t>
      </w:r>
      <w:r>
        <w:rPr>
          <w:i/>
        </w:rPr>
        <w:t xml:space="preserve">et al., </w:t>
      </w:r>
      <w:r>
        <w:t xml:space="preserve">2012. </w:t>
      </w:r>
      <w:r>
        <w:t xml:space="preserve">Predicted protein sequences for each assembly were used as query for </w:t>
      </w:r>
      <w:proofErr w:type="spellStart"/>
      <w:r>
        <w:t>BLASTp</w:t>
      </w:r>
      <w:proofErr w:type="spellEnd"/>
      <w:r>
        <w:t xml:space="preserve"> (BLAST 2.3.0+ - with default parameters) searches against metazoan, bacterial, plant, fungi, and archaea databases. The top hit for each </w:t>
      </w:r>
      <w:proofErr w:type="spellStart"/>
      <w:r>
        <w:t>tardigrade</w:t>
      </w:r>
      <w:proofErr w:type="spellEnd"/>
      <w:r>
        <w:t xml:space="preserve"> sequence from each database were used to perform HGT index calculations. Only </w:t>
      </w:r>
      <w:r>
        <w:t>alignments</w:t>
      </w:r>
      <w:r>
        <w:t xml:space="preserve"> with an </w:t>
      </w:r>
      <w:proofErr w:type="spellStart"/>
      <w:r>
        <w:t>Evalue</w:t>
      </w:r>
      <w:proofErr w:type="spellEnd"/>
      <w:r>
        <w:t xml:space="preserve"> &lt;=1e-5</w:t>
      </w:r>
      <w:bookmarkStart w:id="0" w:name="_GoBack"/>
      <w:bookmarkEnd w:id="0"/>
      <w:r>
        <w:t xml:space="preserve"> were retained. As in </w:t>
      </w:r>
      <w:proofErr w:type="spellStart"/>
      <w:r>
        <w:t>Boschetti</w:t>
      </w:r>
      <w:proofErr w:type="spellEnd"/>
      <w:r>
        <w:t xml:space="preserve"> </w:t>
      </w:r>
      <w:r w:rsidRPr="001E6737">
        <w:rPr>
          <w:i/>
        </w:rPr>
        <w:t>et al</w:t>
      </w:r>
      <w:r>
        <w:t xml:space="preserve">., 2012, sequences with no hits with </w:t>
      </w:r>
      <w:proofErr w:type="spellStart"/>
      <w:r>
        <w:t>Evalue</w:t>
      </w:r>
      <w:proofErr w:type="spellEnd"/>
      <w:r>
        <w:t xml:space="preserve"> &lt;=1e-5 were excluded from further analysis. HGT calculations for each gene were performed by subtracting the maximum metazoan </w:t>
      </w:r>
      <w:proofErr w:type="spellStart"/>
      <w:r>
        <w:t>bitscore</w:t>
      </w:r>
      <w:proofErr w:type="spellEnd"/>
      <w:r>
        <w:t xml:space="preserve"> from the maximum non-metazoan (max non-metazoan </w:t>
      </w:r>
      <w:proofErr w:type="spellStart"/>
      <w:r>
        <w:t>bitscore</w:t>
      </w:r>
      <w:proofErr w:type="spellEnd"/>
      <w:r>
        <w:t xml:space="preserve"> – max metazoan </w:t>
      </w:r>
      <w:proofErr w:type="spellStart"/>
      <w:r>
        <w:t>bitscore</w:t>
      </w:r>
      <w:proofErr w:type="spellEnd"/>
      <w:r>
        <w:t xml:space="preserve">). </w:t>
      </w:r>
      <w:r>
        <w:t xml:space="preserve">Only genes with at least one non-metazoan alignment with a </w:t>
      </w:r>
      <w:proofErr w:type="spellStart"/>
      <w:r>
        <w:t>bitscore</w:t>
      </w:r>
      <w:proofErr w:type="spellEnd"/>
      <w:r>
        <w:t xml:space="preserve"> &gt;=100 and an HGT index of &gt;=30 were retained (Class C genes).</w:t>
      </w:r>
    </w:p>
    <w:p w14:paraId="5898E181" w14:textId="77777777" w:rsidR="00F75284" w:rsidRDefault="00F75284" w:rsidP="00C87471">
      <w:pPr>
        <w:jc w:val="both"/>
        <w:rPr>
          <w:i/>
        </w:rPr>
      </w:pPr>
    </w:p>
    <w:p w14:paraId="7C0FEACD" w14:textId="7356D82C" w:rsidR="00F75284" w:rsidRDefault="00F75284" w:rsidP="00C87471">
      <w:pPr>
        <w:jc w:val="both"/>
        <w:rPr>
          <w:i/>
        </w:rPr>
      </w:pPr>
      <w:proofErr w:type="spellStart"/>
      <w:r>
        <w:rPr>
          <w:i/>
        </w:rPr>
        <w:t>Anvi’o</w:t>
      </w:r>
      <w:proofErr w:type="spellEnd"/>
      <w:r>
        <w:rPr>
          <w:i/>
        </w:rPr>
        <w:t xml:space="preserve"> visualization of scaffold coverage</w:t>
      </w:r>
    </w:p>
    <w:p w14:paraId="0EABE402" w14:textId="515343D2" w:rsidR="00F75284" w:rsidRPr="007B7AB9" w:rsidRDefault="00C87471" w:rsidP="00C87471">
      <w:pPr>
        <w:jc w:val="both"/>
      </w:pPr>
      <w:proofErr w:type="spellStart"/>
      <w:r>
        <w:t>Anvi’o</w:t>
      </w:r>
      <w:proofErr w:type="spellEnd"/>
      <w:r>
        <w:t xml:space="preserve"> 1.2.2 was used to visualize scaffold coverage using 14 next-generation read datasets</w:t>
      </w:r>
      <w:r w:rsidR="00F74653">
        <w:t xml:space="preserve"> (</w:t>
      </w:r>
      <w:proofErr w:type="spellStart"/>
      <w:r w:rsidR="00F74653">
        <w:t>Eren</w:t>
      </w:r>
      <w:proofErr w:type="spellEnd"/>
      <w:r w:rsidR="00F74653">
        <w:t xml:space="preserve"> et al., 2015</w:t>
      </w:r>
      <w:r w:rsidR="00BB2ED3">
        <w:t>)</w:t>
      </w:r>
      <w:r>
        <w:t xml:space="preserve">. Unless otherwise noted all programs were used with default settings. </w:t>
      </w:r>
      <w:r w:rsidR="007B7AB9">
        <w:t>Reads were mapped against assemblies using Bowtie2 with default settings</w:t>
      </w:r>
      <w:r w:rsidR="00392375">
        <w:t xml:space="preserve"> to generate Sam files</w:t>
      </w:r>
      <w:r w:rsidR="007B7AB9">
        <w:t xml:space="preserve">. Sam files were converted to Bam format using </w:t>
      </w:r>
      <w:proofErr w:type="spellStart"/>
      <w:r w:rsidR="007B7AB9">
        <w:t>Samtools</w:t>
      </w:r>
      <w:proofErr w:type="spellEnd"/>
      <w:r w:rsidR="007B7AB9">
        <w:t xml:space="preserve">. </w:t>
      </w:r>
      <w:r w:rsidR="00685BDF">
        <w:t xml:space="preserve">Bam files were index using </w:t>
      </w:r>
      <w:proofErr w:type="spellStart"/>
      <w:r w:rsidR="00685BDF">
        <w:t>anvi</w:t>
      </w:r>
      <w:proofErr w:type="spellEnd"/>
      <w:r w:rsidR="00685BDF">
        <w:t>-</w:t>
      </w:r>
      <w:proofErr w:type="spellStart"/>
      <w:r w:rsidR="00685BDF">
        <w:t>init</w:t>
      </w:r>
      <w:proofErr w:type="spellEnd"/>
      <w:r w:rsidR="00685BDF">
        <w:t xml:space="preserve">-bam tool using default settings. </w:t>
      </w:r>
      <w:proofErr w:type="spellStart"/>
      <w:r w:rsidR="00685BDF">
        <w:t>Anvi’o</w:t>
      </w:r>
      <w:proofErr w:type="spellEnd"/>
      <w:r w:rsidR="00685BDF">
        <w:t xml:space="preserve"> databases were generated using </w:t>
      </w:r>
      <w:proofErr w:type="spellStart"/>
      <w:r w:rsidR="00685BDF">
        <w:t>anvi</w:t>
      </w:r>
      <w:proofErr w:type="spellEnd"/>
      <w:r w:rsidR="00685BDF">
        <w:t>-gen-</w:t>
      </w:r>
      <w:proofErr w:type="spellStart"/>
      <w:r w:rsidR="00685BDF">
        <w:t>contigs</w:t>
      </w:r>
      <w:proofErr w:type="spellEnd"/>
      <w:r w:rsidR="00685BDF">
        <w:t xml:space="preserve">-database </w:t>
      </w:r>
      <w:r w:rsidR="008D714A">
        <w:t xml:space="preserve">with </w:t>
      </w:r>
      <w:r w:rsidR="008D714A">
        <w:lastRenderedPageBreak/>
        <w:t xml:space="preserve">split length set to 100,000,000 to ensure no </w:t>
      </w:r>
      <w:proofErr w:type="spellStart"/>
      <w:r w:rsidR="008D714A">
        <w:t>contigs</w:t>
      </w:r>
      <w:proofErr w:type="spellEnd"/>
      <w:r w:rsidR="008D714A">
        <w:t xml:space="preserve"> were split. Indexed Bam files were used with </w:t>
      </w:r>
      <w:proofErr w:type="spellStart"/>
      <w:r w:rsidR="008D714A">
        <w:t>Anvi’o</w:t>
      </w:r>
      <w:proofErr w:type="spellEnd"/>
      <w:r w:rsidR="008D714A">
        <w:t xml:space="preserve"> databases and </w:t>
      </w:r>
      <w:proofErr w:type="spellStart"/>
      <w:r w:rsidR="008D714A">
        <w:t>anvi</w:t>
      </w:r>
      <w:proofErr w:type="spellEnd"/>
      <w:r w:rsidR="008D714A">
        <w:t xml:space="preserve">-profile </w:t>
      </w:r>
      <w:r w:rsidR="008C4746">
        <w:t xml:space="preserve">using –M 250. </w:t>
      </w:r>
      <w:proofErr w:type="spellStart"/>
      <w:r>
        <w:t>Anvi’o</w:t>
      </w:r>
      <w:proofErr w:type="spellEnd"/>
      <w:r>
        <w:t xml:space="preserve"> profiles were merged using </w:t>
      </w:r>
      <w:proofErr w:type="spellStart"/>
      <w:r>
        <w:t>anvi</w:t>
      </w:r>
      <w:proofErr w:type="spellEnd"/>
      <w:r>
        <w:t xml:space="preserve">-merge. Visualization was carried out using </w:t>
      </w:r>
      <w:proofErr w:type="spellStart"/>
      <w:r>
        <w:t>anvi</w:t>
      </w:r>
      <w:proofErr w:type="spellEnd"/>
      <w:r>
        <w:t>-interactive with clustering performed using both sequence composition and coverage.</w:t>
      </w:r>
    </w:p>
    <w:p w14:paraId="33D422D6" w14:textId="77777777" w:rsidR="00F75284" w:rsidRDefault="00F75284" w:rsidP="00C87471">
      <w:pPr>
        <w:jc w:val="both"/>
        <w:rPr>
          <w:i/>
        </w:rPr>
      </w:pPr>
    </w:p>
    <w:p w14:paraId="65AFF9B5" w14:textId="72537B3B" w:rsidR="00F75284" w:rsidRDefault="00F75284" w:rsidP="00C87471">
      <w:pPr>
        <w:jc w:val="both"/>
        <w:rPr>
          <w:i/>
        </w:rPr>
      </w:pPr>
      <w:r>
        <w:rPr>
          <w:i/>
        </w:rPr>
        <w:t>CEGMA analysis</w:t>
      </w:r>
    </w:p>
    <w:p w14:paraId="07AB799A" w14:textId="34642F29" w:rsidR="00F75284" w:rsidRPr="00BB2ED3" w:rsidRDefault="00BB2ED3" w:rsidP="00BB2ED3">
      <w:pPr>
        <w:rPr>
          <w:rFonts w:ascii="Times New Roman" w:hAnsi="Times New Roman" w:cs="Times New Roman"/>
        </w:rPr>
      </w:pPr>
      <w:r w:rsidRPr="00152F7C">
        <w:rPr>
          <w:rFonts w:ascii="Times New Roman" w:hAnsi="Times New Roman" w:cs="Times New Roman"/>
        </w:rPr>
        <w:t>CEGMA analysis wa</w:t>
      </w:r>
      <w:r w:rsidR="00F74653">
        <w:rPr>
          <w:rFonts w:ascii="Times New Roman" w:hAnsi="Times New Roman" w:cs="Times New Roman"/>
        </w:rPr>
        <w:t>s performed as described in (</w:t>
      </w:r>
      <w:r w:rsidRPr="00152F7C">
        <w:rPr>
          <w:rFonts w:ascii="Times New Roman" w:hAnsi="Times New Roman" w:cs="Times New Roman"/>
        </w:rPr>
        <w:t>Parra et al, 2007) using CEGMA_v2.5.</w:t>
      </w:r>
    </w:p>
    <w:p w14:paraId="14985A7D" w14:textId="77777777" w:rsidR="00F75284" w:rsidRDefault="00F75284" w:rsidP="00C87471">
      <w:pPr>
        <w:jc w:val="both"/>
        <w:rPr>
          <w:i/>
          <w:u w:val="single"/>
        </w:rPr>
      </w:pPr>
    </w:p>
    <w:p w14:paraId="5864C377" w14:textId="5662BCC5" w:rsidR="00F75284" w:rsidRDefault="00F75284" w:rsidP="00C87471">
      <w:pPr>
        <w:jc w:val="both"/>
        <w:rPr>
          <w:i/>
        </w:rPr>
      </w:pPr>
      <w:r>
        <w:rPr>
          <w:i/>
          <w:u w:val="single"/>
        </w:rPr>
        <w:t xml:space="preserve">H. </w:t>
      </w:r>
      <w:proofErr w:type="spellStart"/>
      <w:r>
        <w:rPr>
          <w:i/>
          <w:u w:val="single"/>
        </w:rPr>
        <w:t>dujardini</w:t>
      </w:r>
      <w:proofErr w:type="spellEnd"/>
      <w:r>
        <w:rPr>
          <w:i/>
        </w:rPr>
        <w:t xml:space="preserve"> EST representation</w:t>
      </w:r>
    </w:p>
    <w:p w14:paraId="136EB414" w14:textId="69C3B1A3" w:rsidR="003A6918" w:rsidRPr="0012036E" w:rsidRDefault="003A6918" w:rsidP="003A691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Hypsibius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dujardini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ESTs were downloaded from NCBI’s EST database. BLAT (v35) was used to query ESTs against as</w:t>
      </w:r>
      <w:r w:rsidR="00F74653">
        <w:rPr>
          <w:rFonts w:ascii="Times New Roman" w:hAnsi="Times New Roman" w:cs="Times New Roman"/>
        </w:rPr>
        <w:t>semblies. The baa.pl script (</w:t>
      </w:r>
      <w:r>
        <w:rPr>
          <w:rFonts w:ascii="Times New Roman" w:hAnsi="Times New Roman" w:cs="Times New Roman"/>
        </w:rPr>
        <w:t xml:space="preserve">Ryan, 2013) and BLAT output were used to assess EST representation in various genome assemblies. </w:t>
      </w:r>
    </w:p>
    <w:p w14:paraId="5BB39CEF" w14:textId="77777777" w:rsidR="00F75284" w:rsidRDefault="00F75284" w:rsidP="00C87471">
      <w:pPr>
        <w:jc w:val="both"/>
        <w:rPr>
          <w:i/>
        </w:rPr>
      </w:pPr>
    </w:p>
    <w:p w14:paraId="2306B86F" w14:textId="6C4932C6" w:rsidR="00F75284" w:rsidRDefault="00F75284" w:rsidP="00C87471">
      <w:pPr>
        <w:jc w:val="both"/>
        <w:rPr>
          <w:i/>
        </w:rPr>
      </w:pPr>
      <w:r>
        <w:rPr>
          <w:i/>
        </w:rPr>
        <w:t>Assembly size and N50 assessments</w:t>
      </w:r>
    </w:p>
    <w:p w14:paraId="10530355" w14:textId="4632C78B" w:rsidR="00F75284" w:rsidRPr="003A6918" w:rsidRDefault="003A6918" w:rsidP="00C87471">
      <w:pPr>
        <w:jc w:val="both"/>
      </w:pPr>
      <w:r>
        <w:t xml:space="preserve">Assembly size and N50 </w:t>
      </w:r>
      <w:r w:rsidR="00CA15AF">
        <w:t xml:space="preserve">calculations were derived using Joseph </w:t>
      </w:r>
      <w:proofErr w:type="spellStart"/>
      <w:r w:rsidR="00CA15AF">
        <w:t>Fass’s</w:t>
      </w:r>
      <w:proofErr w:type="spellEnd"/>
      <w:r w:rsidR="00CA15AF">
        <w:t xml:space="preserve"> count_fasta.pl (</w:t>
      </w:r>
      <w:r w:rsidR="00CA15AF" w:rsidRPr="00CA15AF">
        <w:t>http://wiki.bioinformatics.ucdavis.edu/index.php/Count_fasta.pl</w:t>
      </w:r>
      <w:r w:rsidR="00CA15AF">
        <w:t>).</w:t>
      </w:r>
    </w:p>
    <w:p w14:paraId="24F0AB8F" w14:textId="53DE403B" w:rsidR="00F75284" w:rsidRDefault="00F75284" w:rsidP="00C87471">
      <w:pPr>
        <w:jc w:val="both"/>
        <w:rPr>
          <w:i/>
        </w:rPr>
      </w:pPr>
      <w:r>
        <w:rPr>
          <w:i/>
        </w:rPr>
        <w:t xml:space="preserve"> </w:t>
      </w:r>
    </w:p>
    <w:p w14:paraId="4F2DB743" w14:textId="77777777" w:rsidR="00F75284" w:rsidRPr="00F75284" w:rsidRDefault="00F75284" w:rsidP="00C87471">
      <w:pPr>
        <w:jc w:val="both"/>
        <w:rPr>
          <w:i/>
        </w:rPr>
      </w:pPr>
    </w:p>
    <w:sectPr w:rsidR="00F75284" w:rsidRPr="00F75284" w:rsidSect="00C1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FD"/>
    <w:rsid w:val="0008754F"/>
    <w:rsid w:val="001B1E2E"/>
    <w:rsid w:val="001E6737"/>
    <w:rsid w:val="00302832"/>
    <w:rsid w:val="00392375"/>
    <w:rsid w:val="003A6918"/>
    <w:rsid w:val="003B427C"/>
    <w:rsid w:val="005D3314"/>
    <w:rsid w:val="00685BDF"/>
    <w:rsid w:val="007B7AB9"/>
    <w:rsid w:val="00840BFD"/>
    <w:rsid w:val="00863362"/>
    <w:rsid w:val="008C4746"/>
    <w:rsid w:val="008D714A"/>
    <w:rsid w:val="00975D44"/>
    <w:rsid w:val="00BB2ED3"/>
    <w:rsid w:val="00C1740E"/>
    <w:rsid w:val="00C87471"/>
    <w:rsid w:val="00CA15AF"/>
    <w:rsid w:val="00E67424"/>
    <w:rsid w:val="00F74653"/>
    <w:rsid w:val="00F7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BF5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Boothby</dc:creator>
  <cp:keywords/>
  <dc:description/>
  <cp:lastModifiedBy>Thomas Boothby</cp:lastModifiedBy>
  <cp:revision>13</cp:revision>
  <dcterms:created xsi:type="dcterms:W3CDTF">2016-03-28T19:47:00Z</dcterms:created>
  <dcterms:modified xsi:type="dcterms:W3CDTF">2016-04-01T14:52:00Z</dcterms:modified>
</cp:coreProperties>
</file>