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01074">
      <w:pPr>
        <w:bidi w:val="0"/>
        <w:rPr>
          <w:rFonts w:hint="eastAsia"/>
          <w:lang w:val="en-US" w:eastAsia="zh-CN"/>
        </w:rPr>
      </w:pPr>
    </w:p>
    <w:p w14:paraId="65ED435B">
      <w:pPr>
        <w:bidi w:val="0"/>
        <w:rPr>
          <w:rFonts w:hint="eastAsia"/>
          <w:lang w:val="en-US" w:eastAsia="zh-CN"/>
        </w:rPr>
      </w:pPr>
    </w:p>
    <w:p w14:paraId="7A701CD9">
      <w:pPr>
        <w:bidi w:val="0"/>
        <w:rPr>
          <w:rFonts w:hint="eastAsia"/>
          <w:lang w:val="en-US" w:eastAsia="zh-CN"/>
        </w:rPr>
      </w:pPr>
    </w:p>
    <w:p w14:paraId="0CA46098">
      <w:pPr>
        <w:bidi w:val="0"/>
        <w:rPr>
          <w:rFonts w:hint="eastAsia"/>
          <w:lang w:val="en-US" w:eastAsia="zh-CN"/>
        </w:rPr>
      </w:pPr>
    </w:p>
    <w:p w14:paraId="691F5C57">
      <w:pPr>
        <w:bidi w:val="0"/>
        <w:rPr>
          <w:rFonts w:hint="eastAsia"/>
          <w:lang w:val="en-US" w:eastAsia="zh-CN"/>
        </w:rPr>
      </w:pPr>
    </w:p>
    <w:p w14:paraId="454200CF">
      <w:pPr>
        <w:bidi w:val="0"/>
        <w:rPr>
          <w:rFonts w:hint="eastAsia"/>
          <w:lang w:val="en-US" w:eastAsia="zh-CN"/>
        </w:rPr>
      </w:pPr>
    </w:p>
    <w:p w14:paraId="526DDFB1">
      <w:pPr>
        <w:bidi w:val="0"/>
        <w:rPr>
          <w:rFonts w:hint="eastAsia"/>
          <w:lang w:val="en-US" w:eastAsia="zh-CN"/>
        </w:rPr>
      </w:pPr>
    </w:p>
    <w:p w14:paraId="222D8509">
      <w:pPr>
        <w:bidi w:val="0"/>
        <w:rPr>
          <w:rFonts w:hint="eastAsia"/>
          <w:lang w:val="en-US" w:eastAsia="zh-CN"/>
        </w:rPr>
      </w:pPr>
    </w:p>
    <w:p w14:paraId="22F0796E">
      <w:pPr>
        <w:bidi w:val="0"/>
        <w:rPr>
          <w:rFonts w:hint="eastAsia"/>
          <w:lang w:val="en-US" w:eastAsia="zh-CN"/>
        </w:rPr>
      </w:pPr>
    </w:p>
    <w:p w14:paraId="5572850F">
      <w:pPr>
        <w:pStyle w:val="13"/>
        <w:bidi w:val="0"/>
        <w:rPr>
          <w:rFonts w:hint="eastAsia"/>
          <w:szCs w:val="36"/>
          <w:lang w:val="en-US" w:eastAsia="zh-CN"/>
        </w:rPr>
      </w:pPr>
      <w:bookmarkStart w:id="0" w:name="_Toc613473071"/>
      <w:r>
        <w:rPr>
          <w:rFonts w:hint="default"/>
          <w:lang w:val="en-US" w:eastAsia="zh-CN"/>
        </w:rPr>
        <w:t>codeExplorer</w:t>
      </w:r>
      <w:r>
        <w:rPr>
          <w:rFonts w:hint="eastAsia"/>
          <w:lang w:val="en-US" w:eastAsia="zh-CN"/>
        </w:rPr>
        <w:t>使用说明书</w:t>
      </w:r>
      <w:bookmarkEnd w:id="0"/>
    </w:p>
    <w:p w14:paraId="1691E39F">
      <w:pPr>
        <w:rPr>
          <w:rFonts w:hint="eastAsia"/>
          <w:sz w:val="56"/>
          <w:szCs w:val="36"/>
          <w:lang w:val="en-US" w:eastAsia="zh-CN"/>
        </w:rPr>
      </w:pPr>
    </w:p>
    <w:p w14:paraId="75EBE178">
      <w:pPr>
        <w:rPr>
          <w:rFonts w:hint="eastAsia"/>
          <w:sz w:val="56"/>
          <w:szCs w:val="36"/>
          <w:lang w:val="en-US" w:eastAsia="zh-CN"/>
        </w:rPr>
      </w:pPr>
    </w:p>
    <w:p w14:paraId="2C5A4D90">
      <w:pPr>
        <w:rPr>
          <w:rFonts w:hint="eastAsia"/>
          <w:sz w:val="56"/>
          <w:szCs w:val="36"/>
          <w:lang w:val="en-US" w:eastAsia="zh-CN"/>
        </w:rPr>
      </w:pPr>
    </w:p>
    <w:p w14:paraId="7972EACF">
      <w:pPr>
        <w:rPr>
          <w:rFonts w:hint="eastAsia"/>
          <w:sz w:val="56"/>
          <w:szCs w:val="36"/>
          <w:lang w:val="en-US" w:eastAsia="zh-CN"/>
        </w:rPr>
      </w:pPr>
    </w:p>
    <w:p w14:paraId="5EA9BDAC">
      <w:pPr>
        <w:rPr>
          <w:rFonts w:hint="eastAsia"/>
          <w:sz w:val="56"/>
          <w:szCs w:val="36"/>
          <w:lang w:val="en-US" w:eastAsia="zh-CN"/>
        </w:rPr>
      </w:pPr>
    </w:p>
    <w:p w14:paraId="6FB46331">
      <w:pPr>
        <w:rPr>
          <w:rFonts w:hint="eastAsia"/>
          <w:sz w:val="56"/>
          <w:szCs w:val="36"/>
          <w:lang w:val="en-US" w:eastAsia="zh-CN"/>
        </w:rPr>
      </w:pPr>
    </w:p>
    <w:p w14:paraId="496113D1">
      <w:pPr>
        <w:jc w:val="righ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最后修订时间：25.10.10</w:t>
      </w:r>
    </w:p>
    <w:p w14:paraId="0039D153">
      <w:pPr>
        <w:rPr>
          <w:rFonts w:hint="eastAsia"/>
          <w:lang w:val="en-US" w:eastAsia="zh-CN"/>
        </w:rPr>
      </w:pPr>
    </w:p>
    <w:p w14:paraId="45862539">
      <w:pPr>
        <w:rPr>
          <w:rFonts w:hint="eastAsia"/>
          <w:lang w:val="en-US" w:eastAsia="zh-CN"/>
        </w:rPr>
      </w:pPr>
    </w:p>
    <w:p w14:paraId="6C4A95F3">
      <w:pPr>
        <w:rPr>
          <w:rFonts w:hint="eastAsia"/>
          <w:lang w:val="en-US" w:eastAsia="zh-CN"/>
        </w:rPr>
      </w:pPr>
    </w:p>
    <w:p w14:paraId="7E681689">
      <w:pPr>
        <w:rPr>
          <w:rFonts w:hint="eastAsia"/>
          <w:lang w:val="en-US" w:eastAsia="zh-CN"/>
        </w:rPr>
      </w:pPr>
    </w:p>
    <w:p w14:paraId="205EA512">
      <w:pPr>
        <w:rPr>
          <w:rFonts w:hint="eastAsia"/>
          <w:lang w:val="en-US" w:eastAsia="zh-CN"/>
        </w:rPr>
      </w:pPr>
    </w:p>
    <w:p w14:paraId="53385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32"/>
          <w:szCs w:val="40"/>
          <w:lang w:val="en-US" w:eastAsia="zh-CN" w:bidi="ar-SA"/>
        </w:rPr>
        <w:id w:val="26056812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32"/>
          <w:szCs w:val="40"/>
          <w:lang w:val="en-US" w:eastAsia="zh-CN" w:bidi="ar-SA"/>
        </w:rPr>
      </w:sdtEndPr>
      <w:sdtContent>
        <w:p w14:paraId="14E7CB1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40"/>
            </w:rPr>
          </w:pPr>
          <w:r>
            <w:rPr>
              <w:rFonts w:ascii="宋体" w:hAnsi="宋体" w:eastAsia="宋体"/>
              <w:sz w:val="32"/>
              <w:szCs w:val="40"/>
            </w:rPr>
            <w:t>目录</w:t>
          </w:r>
        </w:p>
        <w:p w14:paraId="736C927F">
          <w:pPr>
            <w:pStyle w:val="8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_Toc572915050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 介绍</w:t>
          </w:r>
          <w:r>
            <w:tab/>
          </w:r>
          <w:r>
            <w:fldChar w:fldCharType="begin"/>
          </w:r>
          <w:r>
            <w:instrText xml:space="preserve"> PAGEREF _Toc572915050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65987C">
          <w:pPr>
            <w:pStyle w:val="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_Toc1814055849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2主要功能</w:t>
          </w:r>
          <w:r>
            <w:tab/>
          </w:r>
          <w:r>
            <w:fldChar w:fldCharType="begin"/>
          </w:r>
          <w:r>
            <w:instrText xml:space="preserve"> PAGEREF _Toc1814055849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5557BD2">
          <w:pPr>
            <w:pStyle w:val="9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_Toc1011317684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2.1模型仓库</w:t>
          </w:r>
          <w:r>
            <w:tab/>
          </w:r>
          <w:r>
            <w:fldChar w:fldCharType="begin"/>
          </w:r>
          <w:r>
            <w:instrText xml:space="preserve"> PAGEREF _Toc1011317684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0742CF">
          <w:pPr>
            <w:pStyle w:val="9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_Toc2030732630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 代码数据集</w:t>
          </w:r>
          <w:r>
            <w:tab/>
          </w:r>
          <w:r>
            <w:fldChar w:fldCharType="begin"/>
          </w:r>
          <w:r>
            <w:instrText xml:space="preserve"> PAGEREF _Toc2030732630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824D963">
          <w:pPr>
            <w:pStyle w:val="9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_Toc565710639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 任务列表</w:t>
          </w:r>
          <w:r>
            <w:tab/>
          </w:r>
          <w:r>
            <w:fldChar w:fldCharType="begin"/>
          </w:r>
          <w:r>
            <w:instrText xml:space="preserve"> PAGEREF _Toc565710639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0DCE39"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_Toc988604404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2.3.1 预处理任务列表</w:t>
          </w:r>
          <w:r>
            <w:tab/>
          </w:r>
          <w:r>
            <w:fldChar w:fldCharType="begin"/>
          </w:r>
          <w:r>
            <w:instrText xml:space="preserve"> PAGEREF _Toc988604404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C698751"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_Toc393241189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2.3.2 训练任务列表</w:t>
          </w:r>
          <w:r>
            <w:tab/>
          </w:r>
          <w:r>
            <w:fldChar w:fldCharType="begin"/>
          </w:r>
          <w:r>
            <w:instrText xml:space="preserve"> PAGEREF _Toc393241189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EC8228"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_Toc1397481704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2.3.3 测试任务列表</w:t>
          </w:r>
          <w:r>
            <w:tab/>
          </w:r>
          <w:r>
            <w:fldChar w:fldCharType="begin"/>
          </w:r>
          <w:r>
            <w:instrText xml:space="preserve"> PAGEREF _Toc1397481704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4CDA4A3">
          <w:r>
            <w:fldChar w:fldCharType="end"/>
          </w:r>
        </w:p>
      </w:sdtContent>
    </w:sdt>
    <w:p w14:paraId="6856E123">
      <w:pPr>
        <w:pStyle w:val="2"/>
        <w:bidi w:val="0"/>
        <w:rPr>
          <w:rFonts w:hint="eastAsia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 w14:paraId="7D9172E0">
      <w:pPr>
        <w:pStyle w:val="2"/>
        <w:bidi w:val="0"/>
        <w:rPr>
          <w:rFonts w:hint="eastAsia"/>
          <w:lang w:val="en-US" w:eastAsia="zh-CN"/>
        </w:rPr>
      </w:pPr>
      <w:bookmarkStart w:id="1" w:name="_Toc572915050"/>
      <w:r>
        <w:rPr>
          <w:rFonts w:hint="eastAsia"/>
          <w:lang w:val="en-US" w:eastAsia="zh-CN"/>
        </w:rPr>
        <w:t>1介绍</w:t>
      </w:r>
      <w:bookmarkEnd w:id="1"/>
    </w:p>
    <w:p w14:paraId="2345A736">
      <w:pPr>
        <w:bidi w:val="0"/>
        <w:rPr>
          <w:lang w:val="en-US" w:eastAsia="zh-CN"/>
        </w:rPr>
      </w:pPr>
      <w:r>
        <w:rPr>
          <w:lang w:val="en-US" w:eastAsia="zh-CN"/>
        </w:rPr>
        <w:t>CodeExplorer是一个汇集代码扫描工具的软件平台。使用这些代码扫描工具时，需要上传待分析的代码库，然后依次进行代码预处理、模型训练、模型使用和结果可视化等多个步骤（可分离使用）。通过扫描代码，可以发现隐藏在代码中的缺陷（如代码克隆、特征嫉妒等），</w:t>
      </w:r>
      <w:r>
        <w:rPr>
          <w:rFonts w:hint="eastAsia"/>
          <w:lang w:val="en-US" w:eastAsia="zh-CN"/>
        </w:rPr>
        <w:t>用于</w:t>
      </w:r>
      <w:r>
        <w:rPr>
          <w:lang w:val="en-US" w:eastAsia="zh-CN"/>
        </w:rPr>
        <w:t>评估和改善软件质量。</w:t>
      </w:r>
    </w:p>
    <w:p w14:paraId="199DE7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本文旨在帮助读者快速了解网页使用，详细介绍各部分具体内容及功能。接下来，将按照模型仓库、代码数据集、预处理任务列表、训练任务列表、测试任务列表的顺序依次进行介绍。</w:t>
      </w:r>
    </w:p>
    <w:p w14:paraId="327F7B4A">
      <w:pPr>
        <w:pStyle w:val="2"/>
        <w:bidi w:val="0"/>
        <w:rPr>
          <w:rFonts w:hint="default"/>
          <w:lang w:val="en-US" w:eastAsia="zh-CN"/>
        </w:rPr>
      </w:pPr>
      <w:bookmarkStart w:id="2" w:name="_Toc1814055849"/>
      <w:r>
        <w:rPr>
          <w:rFonts w:hint="eastAsia"/>
          <w:lang w:val="en-US" w:eastAsia="zh-CN"/>
        </w:rPr>
        <w:t>2主要功能</w:t>
      </w:r>
      <w:bookmarkEnd w:id="2"/>
    </w:p>
    <w:p w14:paraId="659BC9CD">
      <w:pPr>
        <w:pStyle w:val="3"/>
        <w:bidi w:val="0"/>
        <w:rPr>
          <w:rFonts w:hint="eastAsia"/>
          <w:lang w:val="en-US" w:eastAsia="zh-CN"/>
        </w:rPr>
      </w:pPr>
      <w:bookmarkStart w:id="3" w:name="_Toc1011317684"/>
      <w:r>
        <w:rPr>
          <w:rFonts w:hint="eastAsia"/>
          <w:lang w:val="en-US" w:eastAsia="zh-CN"/>
        </w:rPr>
        <w:t>2.1登录</w:t>
      </w:r>
    </w:p>
    <w:p w14:paraId="004C0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账号：bindian</w:t>
      </w:r>
    </w:p>
    <w:p w14:paraId="623AC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密码：bindian2024</w:t>
      </w:r>
    </w:p>
    <w:p w14:paraId="2CE49EC9">
      <w:pPr>
        <w:jc w:val="center"/>
        <w:rPr>
          <w:rFonts w:hint="default"/>
          <w:lang w:val="en-US" w:eastAsia="zh-CN"/>
        </w:rPr>
      </w:pPr>
      <w:bookmarkStart w:id="9" w:name="_GoBack"/>
      <w:r>
        <w:drawing>
          <wp:inline distT="0" distB="0" distL="114300" distR="114300">
            <wp:extent cx="5308600" cy="3048000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14:paraId="01A4D3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2.2模型仓库</w:t>
      </w:r>
      <w:bookmarkEnd w:id="3"/>
    </w:p>
    <w:p w14:paraId="20632422">
      <w:pPr>
        <w:rPr>
          <w:rFonts w:hint="eastAsia"/>
          <w:lang w:val="en-US" w:eastAsia="zh-CN"/>
        </w:rPr>
      </w:pPr>
    </w:p>
    <w:p w14:paraId="7FCFB4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模型仓库用于展示当前所有的模型信息，除了表格中展示的基本信息外，点击“查看”按钮可以看到模型训练时设置的参数。点击“删除”按钮可以删除所选模型，</w:t>
      </w:r>
      <w:r>
        <w:rPr>
          <w:rFonts w:hint="eastAsia"/>
          <w:color w:val="FF0000"/>
          <w:highlight w:val="none"/>
          <w:lang w:val="en-US" w:eastAsia="zh-CN"/>
        </w:rPr>
        <w:t>注：</w:t>
      </w:r>
      <w:r>
        <w:rPr>
          <w:rFonts w:hint="eastAsia"/>
          <w:color w:val="FF0000"/>
          <w:lang w:val="en-US" w:eastAsia="zh-CN"/>
        </w:rPr>
        <w:t>此操作不可逆。</w:t>
      </w:r>
      <w:r>
        <w:rPr>
          <w:rFonts w:hint="eastAsia"/>
          <w:lang w:val="en-US" w:eastAsia="zh-CN"/>
        </w:rPr>
        <w:t>模型会在训练任务结束时自动生成，用户不可自行导入，在测试阶段可选表格中任一模型进行代码测试。</w:t>
      </w:r>
    </w:p>
    <w:p w14:paraId="4BAF1945">
      <w:pPr>
        <w:ind w:left="0" w:leftChars="0" w:firstLine="0" w:firstLineChars="0"/>
        <w:jc w:val="center"/>
      </w:pPr>
      <w:r>
        <w:drawing>
          <wp:inline distT="0" distB="0" distL="114300" distR="114300">
            <wp:extent cx="6097905" cy="3468370"/>
            <wp:effectExtent l="0" t="0" r="2349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A329">
      <w:pPr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模型仓库列表</w:t>
      </w:r>
    </w:p>
    <w:p w14:paraId="54A776B1">
      <w:pPr>
        <w:ind w:left="0" w:leftChars="0" w:firstLine="0" w:firstLineChars="0"/>
        <w:jc w:val="center"/>
      </w:pPr>
      <w:r>
        <w:drawing>
          <wp:inline distT="0" distB="0" distL="114300" distR="114300">
            <wp:extent cx="5690235" cy="3884930"/>
            <wp:effectExtent l="0" t="0" r="24765" b="127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5B9D">
      <w:pPr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模型仓库“查看”按钮</w:t>
      </w:r>
    </w:p>
    <w:p w14:paraId="04B57512">
      <w:pPr>
        <w:pStyle w:val="3"/>
        <w:bidi w:val="0"/>
        <w:rPr>
          <w:rFonts w:hint="eastAsia"/>
          <w:lang w:val="en-US" w:eastAsia="zh-CN"/>
        </w:rPr>
      </w:pPr>
      <w:bookmarkStart w:id="4" w:name="_Toc2030732630"/>
      <w:r>
        <w:rPr>
          <w:rFonts w:hint="eastAsia"/>
          <w:lang w:val="en-US" w:eastAsia="zh-CN"/>
        </w:rPr>
        <w:t>2.3代码数据集</w:t>
      </w:r>
      <w:bookmarkEnd w:id="4"/>
    </w:p>
    <w:p w14:paraId="6A832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数据集用于展示当前所有的数据集信息，包括已预处理数据集和未预处理数据集。同样的，用户除了可以看到基本信息外，点击“查看”按钮可以看到此数据集中的具体内容。点击“新增原始数据集”可将本地数据上传至网站，用于检测与评估。</w:t>
      </w:r>
    </w:p>
    <w:p w14:paraId="5C05FAD4">
      <w:pPr>
        <w:ind w:left="0" w:leftChars="0" w:firstLine="0" w:firstLineChars="0"/>
        <w:jc w:val="center"/>
      </w:pPr>
      <w:r>
        <w:drawing>
          <wp:inline distT="0" distB="0" distL="114300" distR="114300">
            <wp:extent cx="6511290" cy="3730625"/>
            <wp:effectExtent l="0" t="0" r="1651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129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1B042">
      <w:pPr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代码数据集按钮</w:t>
      </w:r>
    </w:p>
    <w:p w14:paraId="4F58D497">
      <w:pPr>
        <w:ind w:left="0" w:leftChars="0" w:firstLine="0" w:firstLineChars="0"/>
      </w:pPr>
      <w:r>
        <w:drawing>
          <wp:inline distT="0" distB="0" distL="114300" distR="114300">
            <wp:extent cx="6645910" cy="4610735"/>
            <wp:effectExtent l="0" t="0" r="8890" b="1206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83FD">
      <w:pPr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代码数据集“查看”按钮</w:t>
      </w:r>
    </w:p>
    <w:p w14:paraId="38F5E348">
      <w:pPr>
        <w:pStyle w:val="3"/>
        <w:bidi w:val="0"/>
        <w:rPr>
          <w:rFonts w:hint="eastAsia"/>
          <w:lang w:val="en-US" w:eastAsia="zh-CN"/>
        </w:rPr>
      </w:pPr>
      <w:bookmarkStart w:id="5" w:name="_Toc565710639"/>
      <w:r>
        <w:rPr>
          <w:rFonts w:hint="eastAsia"/>
          <w:lang w:val="en-US" w:eastAsia="zh-CN"/>
        </w:rPr>
        <w:t>2.4任务列表</w:t>
      </w:r>
      <w:bookmarkEnd w:id="5"/>
    </w:p>
    <w:p w14:paraId="36279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任务分为三种：预处理任务、训练任务以及测试任务，三种任务相互独立，但gpu、模型资源共享。</w:t>
      </w:r>
    </w:p>
    <w:p w14:paraId="3403659F">
      <w:pPr>
        <w:pStyle w:val="4"/>
        <w:bidi w:val="0"/>
        <w:rPr>
          <w:rFonts w:hint="eastAsia"/>
          <w:lang w:val="en-US" w:eastAsia="zh-CN"/>
        </w:rPr>
      </w:pPr>
      <w:bookmarkStart w:id="6" w:name="_Toc988604404"/>
      <w:r>
        <w:rPr>
          <w:rFonts w:hint="eastAsia"/>
          <w:lang w:val="en-US" w:eastAsia="zh-CN"/>
        </w:rPr>
        <w:t>2.4.1 预处理任务列表</w:t>
      </w:r>
      <w:bookmarkEnd w:id="6"/>
    </w:p>
    <w:p w14:paraId="55522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预处理任务会将未预处理的数据集变为已处理数据集。操作流程为：</w:t>
      </w:r>
    </w:p>
    <w:p w14:paraId="52610A2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进到任务列表-预处理任务列表，点击“新增预处理任务”，填入信息，选择想要预处理的代码。</w:t>
      </w:r>
    </w:p>
    <w:p w14:paraId="0B051B8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6150610" cy="3525520"/>
            <wp:effectExtent l="0" t="0" r="2159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589B">
      <w:pPr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“新增预处理任务”窗口</w:t>
      </w:r>
    </w:p>
    <w:p w14:paraId="6E5EEF4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新建完成后可在预处理任务表中看到，任务在未启动前都是可以进行编辑的。</w:t>
      </w:r>
    </w:p>
    <w:p w14:paraId="4CD63C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点击“启动”按钮，会跳转到预处理展示界面，点击启动按钮任务，选择空闲的GPU后开始执行任务，顶部的进度条会显示总体进行流程，并且用户可随时点击“停止”按钮停止任务。</w:t>
      </w:r>
    </w:p>
    <w:p w14:paraId="48BC7AB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6177915" cy="3542030"/>
            <wp:effectExtent l="0" t="0" r="19685" b="139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678A">
      <w:pPr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预处理任务启动界面</w:t>
      </w:r>
    </w:p>
    <w:p w14:paraId="1D7EC8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任务启动后运行界面会产生控制台信息，方便用户查看执行情况。</w:t>
      </w:r>
    </w:p>
    <w:p w14:paraId="33566DB3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6256020" cy="5121910"/>
            <wp:effectExtent l="0" t="0" r="17780" b="889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3C20">
      <w:pPr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预处理任务运行界面</w:t>
      </w:r>
    </w:p>
    <w:p w14:paraId="4F3A6EA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启动成功后用户可随时点击该任务的“查看”按钮查看运行情况。</w:t>
      </w:r>
    </w:p>
    <w:p w14:paraId="3BC81CC2">
      <w:pPr>
        <w:pStyle w:val="4"/>
        <w:bidi w:val="0"/>
        <w:rPr>
          <w:rFonts w:hint="eastAsia"/>
          <w:lang w:val="en-US" w:eastAsia="zh-CN"/>
        </w:rPr>
      </w:pPr>
      <w:bookmarkStart w:id="7" w:name="_Toc393241189"/>
      <w:r>
        <w:rPr>
          <w:rFonts w:hint="eastAsia"/>
          <w:lang w:val="en-US" w:eastAsia="zh-CN"/>
        </w:rPr>
        <w:t>2.4.2 训练任务列表</w:t>
      </w:r>
      <w:bookmarkEnd w:id="7"/>
    </w:p>
    <w:p w14:paraId="57272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训练任务有三种，分别是代码克隆检测、代码异味检测以及代码漏洞检测。这里将着重对代码克隆检测流程的描述。</w:t>
      </w:r>
    </w:p>
    <w:p w14:paraId="43A81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训练任务会对选择的不同数据集训练出不同模型，操作流程为：</w:t>
      </w:r>
    </w:p>
    <w:p w14:paraId="4FD1403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进入任务列表-训练任务列表-代码克隆检测，点击“新增训练任务”，输入各项信息，并且可以自定义修改参数设置。注意：此处数据集必须是已处理好的数据集才可在此处展示。</w:t>
      </w:r>
    </w:p>
    <w:p w14:paraId="70263D8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417185" cy="3641090"/>
            <wp:effectExtent l="0" t="0" r="18415" b="165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89724">
      <w:pPr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“新增训练任务”按钮界面</w:t>
      </w:r>
    </w:p>
    <w:p w14:paraId="30DB772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新建完成后可在代码克隆检测任务表中看到，任务在未启动前都是可以进行编辑的。</w:t>
      </w:r>
    </w:p>
    <w:p w14:paraId="14EB879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点击“启动”按钮，会跳转到训练过程展示界面，点击启动按钮任务，选择空闲的GPU后开始执行任务，顶部的进度条会显示总体进行流程，并且用户可随时点击“停止”按钮停止任务。</w:t>
      </w:r>
    </w:p>
    <w:p w14:paraId="2F928F4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6064250" cy="4080510"/>
            <wp:effectExtent l="0" t="0" r="6350" b="889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7877">
      <w:pPr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训练任务“启动”按钮界面</w:t>
      </w:r>
    </w:p>
    <w:p w14:paraId="2010861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任务启动后运行界面会产生控制台信息，方便用户查看执行情况。</w:t>
      </w:r>
    </w:p>
    <w:p w14:paraId="7E51CFC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796915" cy="4732020"/>
            <wp:effectExtent l="0" t="0" r="19685" b="1778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BAF8">
      <w:pPr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训练任务运行界面</w:t>
      </w:r>
    </w:p>
    <w:p w14:paraId="0775E59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启动成功后用户可随时点击该任务的“查看”按钮查看运行情况。</w:t>
      </w:r>
    </w:p>
    <w:p w14:paraId="3B079243">
      <w:pPr>
        <w:pStyle w:val="4"/>
        <w:bidi w:val="0"/>
        <w:rPr>
          <w:rFonts w:hint="eastAsia"/>
          <w:lang w:val="en-US" w:eastAsia="zh-CN"/>
        </w:rPr>
      </w:pPr>
      <w:bookmarkStart w:id="8" w:name="_Toc1397481704"/>
      <w:r>
        <w:rPr>
          <w:rFonts w:hint="eastAsia"/>
          <w:lang w:val="en-US" w:eastAsia="zh-CN"/>
        </w:rPr>
        <w:t>2.4.3 测试任务列表</w:t>
      </w:r>
      <w:bookmarkEnd w:id="8"/>
    </w:p>
    <w:p w14:paraId="57CD8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对应训练任务列表，测试任务同样有三种，这里将着重进行代码克隆检测流程的描述。</w:t>
      </w:r>
    </w:p>
    <w:p w14:paraId="5270E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测试任务会对生成的模型与用户选择的代码进行检测，分析与评估模型的好坏。操作流程为：</w:t>
      </w:r>
    </w:p>
    <w:p w14:paraId="63FE80D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7079A79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进入任务列表-测试任务列表-代码克隆检测，点击“新增测试任务”，输入各项信息，并且可以自定义修改参数设置。注意：此处数据集必须是已处理好的数据集才可在此处展示。</w:t>
      </w:r>
    </w:p>
    <w:p w14:paraId="4EAF3B2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909185" cy="3828415"/>
            <wp:effectExtent l="0" t="0" r="18415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90A5">
      <w:pPr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“新增测试任务”界面</w:t>
      </w:r>
    </w:p>
    <w:p w14:paraId="659BEC79">
      <w:pPr>
        <w:numPr>
          <w:ilvl w:val="0"/>
          <w:numId w:val="3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新建完成后可在代码克隆测试任务表中看到，任务在未启动前都是可以进行编辑的。</w:t>
      </w:r>
    </w:p>
    <w:p w14:paraId="5776BCA0">
      <w:pPr>
        <w:numPr>
          <w:ilvl w:val="0"/>
          <w:numId w:val="3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点击“启动”按钮，会跳转到测试过程展示界面，同样的，点击启动按钮任务，选择空闲的GPU后开始执行任务，顶部的进度条会显示总体进行流程，并且用户可随时点击“停止”按钮停止任务。</w:t>
      </w:r>
    </w:p>
    <w:p w14:paraId="556B0749">
      <w:pPr>
        <w:numPr>
          <w:ilvl w:val="0"/>
          <w:numId w:val="0"/>
        </w:numPr>
        <w:ind w:leftChars="200"/>
        <w:jc w:val="center"/>
      </w:pPr>
      <w:r>
        <w:drawing>
          <wp:inline distT="0" distB="0" distL="114300" distR="114300">
            <wp:extent cx="6099810" cy="4987925"/>
            <wp:effectExtent l="0" t="0" r="21590" b="1587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C8F8">
      <w:pPr>
        <w:numPr>
          <w:ilvl w:val="0"/>
          <w:numId w:val="0"/>
        </w:numPr>
        <w:ind w:left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测试任务“启动”按钮</w:t>
      </w:r>
    </w:p>
    <w:p w14:paraId="516C053D">
      <w:pPr>
        <w:numPr>
          <w:ilvl w:val="0"/>
          <w:numId w:val="3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任务启动后运行界面会产生控制台信息，方便用户查看执行情况。</w:t>
      </w:r>
    </w:p>
    <w:p w14:paraId="778F9D10">
      <w:pPr>
        <w:numPr>
          <w:ilvl w:val="0"/>
          <w:numId w:val="0"/>
        </w:numPr>
        <w:ind w:leftChars="200"/>
        <w:jc w:val="center"/>
      </w:pPr>
      <w:r>
        <w:drawing>
          <wp:inline distT="0" distB="0" distL="114300" distR="114300">
            <wp:extent cx="6021070" cy="4905375"/>
            <wp:effectExtent l="0" t="0" r="24130" b="222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4AF11">
      <w:pPr>
        <w:numPr>
          <w:ilvl w:val="0"/>
          <w:numId w:val="0"/>
        </w:numPr>
        <w:ind w:left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测试任务运行界面</w:t>
      </w:r>
    </w:p>
    <w:p w14:paraId="0E65597F">
      <w:pPr>
        <w:numPr>
          <w:ilvl w:val="0"/>
          <w:numId w:val="3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启动成功后用户可随时点击该任务的“查看”按钮查看运行情况。</w:t>
      </w:r>
    </w:p>
    <w:p w14:paraId="014FC361">
      <w:pPr>
        <w:numPr>
          <w:ilvl w:val="0"/>
          <w:numId w:val="3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当程序运行完成后，点击运行结果，可查看检测结果。注：目录中红色字体为疑似克隆文件名，点击出现源代码、疑似克隆代码以及克隆代码所在目录。</w:t>
      </w:r>
    </w:p>
    <w:p w14:paraId="44114D34">
      <w:pPr>
        <w:numPr>
          <w:ilvl w:val="0"/>
          <w:numId w:val="0"/>
        </w:numPr>
        <w:ind w:leftChars="200"/>
        <w:jc w:val="center"/>
      </w:pPr>
      <w:r>
        <w:drawing>
          <wp:inline distT="0" distB="0" distL="114300" distR="114300">
            <wp:extent cx="5766435" cy="3310255"/>
            <wp:effectExtent l="0" t="0" r="24765" b="1714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3797">
      <w:pPr>
        <w:numPr>
          <w:ilvl w:val="0"/>
          <w:numId w:val="0"/>
        </w:numPr>
        <w:ind w:left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测试任务运行结果</w:t>
      </w:r>
    </w:p>
    <w:sectPr>
      <w:footerReference r:id="rId5" w:type="default"/>
      <w:pgSz w:w="11906" w:h="16838"/>
      <w:pgMar w:top="720" w:right="720" w:bottom="720" w:left="72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264A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17FB3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17FB3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1BB340"/>
    <w:multiLevelType w:val="singleLevel"/>
    <w:tmpl w:val="EF1BB3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EC178E"/>
    <w:multiLevelType w:val="singleLevel"/>
    <w:tmpl w:val="F9EC17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6EE0D96"/>
    <w:multiLevelType w:val="singleLevel"/>
    <w:tmpl w:val="76EE0D9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kNzI0ZGEyMzFhZDJlOGQ0ZjhhYWNkOGYwYjI1OGMifQ=="/>
  </w:docVars>
  <w:rsids>
    <w:rsidRoot w:val="967E8B3E"/>
    <w:rsid w:val="4F3E643E"/>
    <w:rsid w:val="53BFBAD1"/>
    <w:rsid w:val="5B9D73B8"/>
    <w:rsid w:val="5FEB4C7F"/>
    <w:rsid w:val="61FFE3AB"/>
    <w:rsid w:val="63BF50D5"/>
    <w:rsid w:val="67C43390"/>
    <w:rsid w:val="687DCB67"/>
    <w:rsid w:val="6EFF3199"/>
    <w:rsid w:val="6FAFB713"/>
    <w:rsid w:val="7ABFD99E"/>
    <w:rsid w:val="7D7EE6D3"/>
    <w:rsid w:val="7FC7F5E7"/>
    <w:rsid w:val="967E8B3E"/>
    <w:rsid w:val="AB937CBA"/>
    <w:rsid w:val="AFBF7E40"/>
    <w:rsid w:val="B7ABE0D4"/>
    <w:rsid w:val="BFD7A223"/>
    <w:rsid w:val="D7FCB9EA"/>
    <w:rsid w:val="EB77ED0C"/>
    <w:rsid w:val="EDFC1D41"/>
    <w:rsid w:val="EFC6D9DB"/>
    <w:rsid w:val="F1D7F271"/>
    <w:rsid w:val="F36BDFA5"/>
    <w:rsid w:val="F7E9964C"/>
    <w:rsid w:val="F7EFE073"/>
    <w:rsid w:val="F7FB5DBB"/>
    <w:rsid w:val="FBEA17AE"/>
    <w:rsid w:val="FF7FF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1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ind w:firstLine="0" w:firstLineChars="0"/>
      <w:outlineLvl w:val="0"/>
    </w:pPr>
    <w:rPr>
      <w:rFonts w:eastAsia="STHeit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40" w:beforeLines="0" w:beforeAutospacing="0" w:after="14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customStyle="1" w:styleId="12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封皮"/>
    <w:basedOn w:val="1"/>
    <w:next w:val="1"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customStyle="1" w:styleId="14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5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1210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2025-02-12T02:13:00Z</dcterms:created>
  <dc:creator>TiAmo</dc:creator>
  <cp:lastModifiedBy>TiAmo</cp:lastModifiedBy>
  <dcterms:modified xsi:type="dcterms:W3CDTF">2025-10-11T10:43:03Z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386F18E38FAE8B5230B2AA670A0C2AA3_41</vt:lpwstr>
  </property>
</Properties>
</file>