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CB3D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公司内部物流培训网站-需求确认文档V1.0</w:t>
      </w:r>
    </w:p>
    <w:p w14:paraId="3ACBE85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文档说明</w:t>
      </w:r>
      <w:bookmarkEnd w:id="0"/>
    </w:p>
    <w:p w14:paraId="095BB29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本文档为公司内部物流培训网站的开发需求确认依据，全程基于Django开发，前端采用HTML+CSS+JS+jQuery实现，无复杂前端框架；</w:t>
      </w:r>
    </w:p>
    <w:p w14:paraId="2BC77D1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网站仅公司内部员工使用，并发访问量≤5，无需做高并发、高可用优化，功能以「可用、稳定」为核心标准；</w:t>
      </w:r>
    </w:p>
    <w:p w14:paraId="6AFBA22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无管理员账号及相关管理功能，员工数据从公司内部ERP接口同步，登录验证基于本地同步后的员工表完成。</w:t>
      </w:r>
    </w:p>
    <w:p w14:paraId="38059ED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一、核心基础规则</w:t>
      </w:r>
      <w:bookmarkEnd w:id="1"/>
    </w:p>
    <w:p w14:paraId="784FC1D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员工数据来源</w:t>
      </w:r>
      <w:r>
        <w:rPr>
          <w:rFonts w:ascii="Arial" w:hAnsi="Arial" w:eastAsia="等线" w:cs="Arial"/>
          <w:sz w:val="22"/>
        </w:rPr>
        <w:t>：完全从公司ERP接口获取，本地不开发账号创建、注册、密码修改/找回功能；</w:t>
      </w:r>
    </w:p>
    <w:p w14:paraId="0FFAF8F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数据同步规则</w:t>
      </w:r>
      <w:r>
        <w:rPr>
          <w:rFonts w:ascii="Arial" w:hAnsi="Arial" w:eastAsia="等线" w:cs="Arial"/>
          <w:sz w:val="22"/>
        </w:rPr>
        <w:t>：每5分钟自动从ERP接口同步员工数据至本地员工表，同步逻辑含新增、更新、标记禁用；</w:t>
      </w:r>
    </w:p>
    <w:p w14:paraId="68F72A1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登录验证规则</w:t>
      </w:r>
      <w:r>
        <w:rPr>
          <w:rFonts w:ascii="Arial" w:hAnsi="Arial" w:eastAsia="等线" w:cs="Arial"/>
          <w:sz w:val="22"/>
        </w:rPr>
        <w:t>：员工登录仅验证本地员工表数据，无ERP实时验证，账号状态以本地同步的ERP状态为准；</w:t>
      </w:r>
    </w:p>
    <w:p w14:paraId="3C2DFDC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功能边界</w:t>
      </w:r>
      <w:r>
        <w:rPr>
          <w:rFonts w:ascii="Arial" w:hAnsi="Arial" w:eastAsia="等线" w:cs="Arial"/>
          <w:sz w:val="22"/>
        </w:rPr>
        <w:t>：无对外访问权限，仅公司内部员工可访问，无需做域名备案、HTTPS强制配置（部署后可按需配置）；</w:t>
      </w:r>
    </w:p>
    <w:p w14:paraId="0EFE23E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文件/视频格式</w:t>
      </w:r>
      <w:r>
        <w:rPr>
          <w:rFonts w:ascii="Arial" w:hAnsi="Arial" w:eastAsia="等线" w:cs="Arial"/>
          <w:sz w:val="22"/>
        </w:rPr>
        <w:t>：仅支持MP4（视频）、PPT/PPTX、Word/DOCX、PDF（文档），无其他格式兼容需求。</w:t>
      </w:r>
    </w:p>
    <w:p w14:paraId="1C9B4C54">
      <w:pPr>
        <w:numPr>
          <w:ilvl w:val="0"/>
          <w:numId w:val="9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" w:name="heading_2"/>
      <w:r>
        <w:rPr>
          <w:rFonts w:ascii="Arial" w:hAnsi="Arial" w:eastAsia="等线" w:cs="Arial"/>
          <w:b/>
          <w:sz w:val="32"/>
        </w:rPr>
        <w:t>核心功能需求</w:t>
      </w:r>
      <w:bookmarkEnd w:id="2"/>
    </w:p>
    <w:p w14:paraId="74A0A5F6">
      <w:pPr>
        <w:numPr>
          <w:ilvl w:val="0"/>
          <w:numId w:val="0"/>
        </w:numPr>
        <w:spacing w:before="320" w:after="120" w:line="288" w:lineRule="auto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增加管理员账号，管理员可以上传视频，ppt,word文档，以及excel表格，ai客服助手可以获得除视频以外的文件作为知识库</w:t>
      </w:r>
      <w:bookmarkStart w:id="21" w:name="_GoBack"/>
      <w:bookmarkEnd w:id="21"/>
    </w:p>
    <w:p w14:paraId="6820FA0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（一）ERP员工数据自动同步（核心基础功能）</w:t>
      </w:r>
      <w:bookmarkEnd w:id="3"/>
    </w:p>
    <w:p w14:paraId="4E2887E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同步触发</w:t>
      </w:r>
      <w:r>
        <w:rPr>
          <w:rFonts w:ascii="Arial" w:hAnsi="Arial" w:eastAsia="等线" w:cs="Arial"/>
          <w:sz w:val="22"/>
        </w:rPr>
        <w:t>：基于Django定时任务实现，每5分钟自动执行一次同步，无需手动触发；</w:t>
      </w:r>
    </w:p>
    <w:p w14:paraId="6AB074D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同步范围</w:t>
      </w:r>
      <w:r>
        <w:rPr>
          <w:rFonts w:ascii="Arial" w:hAnsi="Arial" w:eastAsia="等线" w:cs="Arial"/>
          <w:sz w:val="22"/>
        </w:rPr>
        <w:t>：仅同步ERP接口返回的员工核心数据，以ERP侧定义的字段为准；</w:t>
      </w:r>
    </w:p>
    <w:p w14:paraId="43F26EE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同步逻辑</w:t>
      </w:r>
    </w:p>
    <w:p w14:paraId="5F0C2E20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新增：ERP中有但本地员工表无的员工，自动新增至本地表；</w:t>
      </w:r>
    </w:p>
    <w:p w14:paraId="3C038A06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更新：ERP中员工信息（工号、姓名、密码、部门、状态等）发生变更的，同步更新本地表对应数据；</w:t>
      </w:r>
    </w:p>
    <w:p w14:paraId="007FF956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禁用：ERP中标记为「离职/禁用」的员工，本地表仅标记「禁用状态」，不删除数据，登录时做拦截；</w:t>
      </w:r>
    </w:p>
    <w:p w14:paraId="63B71D5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同步失败处理</w:t>
      </w:r>
      <w:r>
        <w:rPr>
          <w:rFonts w:ascii="Arial" w:hAnsi="Arial" w:eastAsia="等线" w:cs="Arial"/>
          <w:sz w:val="22"/>
        </w:rPr>
        <w:t>：同步失败时记录本地简易日志（含失败时间、失败原因），无需复杂重试和告警机制；</w:t>
      </w:r>
    </w:p>
    <w:p w14:paraId="09CD6D9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唯一标识</w:t>
      </w:r>
      <w:r>
        <w:rPr>
          <w:rFonts w:ascii="Arial" w:hAnsi="Arial" w:eastAsia="等线" w:cs="Arial"/>
          <w:sz w:val="22"/>
        </w:rPr>
        <w:t>：以ERP接口返回的</w:t>
      </w:r>
      <w:r>
        <w:rPr>
          <w:rFonts w:ascii="Arial" w:hAnsi="Arial" w:eastAsia="等线" w:cs="Arial"/>
          <w:b/>
          <w:sz w:val="22"/>
        </w:rPr>
        <w:t>员工工号</w:t>
      </w:r>
      <w:r>
        <w:rPr>
          <w:rFonts w:ascii="Arial" w:hAnsi="Arial" w:eastAsia="等线" w:cs="Arial"/>
          <w:sz w:val="22"/>
        </w:rPr>
        <w:t>作为本地员工表的唯一主键，避免重复同步。</w:t>
      </w:r>
    </w:p>
    <w:p w14:paraId="040684B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（二）员工端核心功能（所有功能仅对「启用状态」员工开放）</w:t>
      </w:r>
      <w:bookmarkEnd w:id="4"/>
    </w:p>
    <w:p w14:paraId="195A3A56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1. 账号登录/注销</w:t>
      </w:r>
      <w:bookmarkEnd w:id="5"/>
    </w:p>
    <w:p w14:paraId="6754BA1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登录：支持</w:t>
      </w:r>
      <w:r>
        <w:rPr>
          <w:rFonts w:ascii="Arial" w:hAnsi="Arial" w:eastAsia="等线" w:cs="Arial"/>
          <w:b/>
          <w:sz w:val="22"/>
        </w:rPr>
        <w:t>工号+密码</w:t>
      </w:r>
      <w:r>
        <w:rPr>
          <w:rFonts w:ascii="Arial" w:hAnsi="Arial" w:eastAsia="等线" w:cs="Arial"/>
          <w:sz w:val="22"/>
        </w:rPr>
        <w:t>验证，仅匹配本地员工表中「工号存在、密码一致、状态为启用」的员工，验证通过后进入系统，否则提示对应失败信息；</w:t>
      </w:r>
    </w:p>
    <w:p w14:paraId="4CB7B76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注销：点击注销后清除当前登录状态，返回登录页，无其他附加操作；</w:t>
      </w:r>
    </w:p>
    <w:p w14:paraId="74AEC6B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无注册、密码找回、记住密码等功能。</w:t>
      </w:r>
    </w:p>
    <w:p w14:paraId="6CE96FD0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2. 课程模块</w:t>
      </w:r>
      <w:bookmarkEnd w:id="6"/>
    </w:p>
    <w:p w14:paraId="14234A8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课程展示：首页按</w:t>
      </w:r>
      <w:r>
        <w:rPr>
          <w:rFonts w:ascii="Arial" w:hAnsi="Arial" w:eastAsia="等线" w:cs="Arial"/>
          <w:b/>
          <w:sz w:val="22"/>
        </w:rPr>
        <w:t>培训分类（国际物流专业知识、客服部工作流程、阿里国际站平台、物流渠道知识、全员必学）</w:t>
      </w:r>
      <w:r>
        <w:rPr>
          <w:rFonts w:ascii="Arial" w:hAnsi="Arial" w:eastAsia="等线" w:cs="Arial"/>
          <w:sz w:val="22"/>
        </w:rPr>
        <w:t xml:space="preserve"> 展示课程，每门课程显示名称、学习人数、难度（初级/中级）；</w:t>
      </w:r>
    </w:p>
    <w:p w14:paraId="6E55556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课程分类筛选：支持按培训分类、课程难度筛选课程，无搜索功能（可选后期补充）；</w:t>
      </w:r>
    </w:p>
    <w:p w14:paraId="773D345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课程详情：点击课程进入详情页，分4个核心板块：课程介绍、课程章节、课程资料、课程考试，板块布局参考公司现有培训网站样式；</w:t>
      </w:r>
    </w:p>
    <w:p w14:paraId="06CB967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强制学习路径</w:t>
      </w:r>
      <w:r>
        <w:rPr>
          <w:rFonts w:ascii="Arial" w:hAnsi="Arial" w:eastAsia="等线" w:cs="Arial"/>
          <w:sz w:val="22"/>
        </w:rPr>
        <w:t>：必须按章节排序完成上一章节的学习（视频看完/文档预览完成），才能访问下一章节，未完成则点击下一章节提示「请先完成上一章节学习」。</w:t>
      </w:r>
    </w:p>
    <w:p w14:paraId="4C9C9A5E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3. 视频播放功能</w:t>
      </w:r>
      <w:bookmarkEnd w:id="7"/>
    </w:p>
    <w:p w14:paraId="3A55E6A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播放载体：仅支持MP4格式视频，嵌入课程章节中播放；</w:t>
      </w:r>
    </w:p>
    <w:p w14:paraId="2888916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防操作限制</w:t>
      </w:r>
      <w:r>
        <w:rPr>
          <w:rFonts w:ascii="Arial" w:hAnsi="Arial" w:eastAsia="等线" w:cs="Arial"/>
          <w:sz w:val="22"/>
        </w:rPr>
        <w:t>：禁用进度条拖动、倍速播放、视频下载功能，仅支持1倍速正常播放；</w:t>
      </w:r>
    </w:p>
    <w:p w14:paraId="29CE871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学习标记：视频播放完成后（自动播放至末尾），系统自动标记该章节为「已完成」，同步至学习记录；</w:t>
      </w:r>
    </w:p>
    <w:p w14:paraId="77D9405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播放体验：无需做视频缓冲、画质切换等优化，保证正常播放即可。</w:t>
      </w:r>
    </w:p>
    <w:p w14:paraId="22F00323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4. 文档预览功能</w:t>
      </w:r>
      <w:bookmarkEnd w:id="8"/>
    </w:p>
    <w:p w14:paraId="0149A4F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预览载体：支持PPT/PPTX、Word/DOCX、PDF格式文档，嵌入课程章节中在线预览；</w:t>
      </w:r>
    </w:p>
    <w:p w14:paraId="1ECB744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禁下载限制</w:t>
      </w:r>
      <w:r>
        <w:rPr>
          <w:rFonts w:ascii="Arial" w:hAnsi="Arial" w:eastAsia="等线" w:cs="Arial"/>
          <w:sz w:val="22"/>
        </w:rPr>
        <w:t>：前端无任何下载按钮/入口，后端不提供文档下载接口，仅支持在线预览；</w:t>
      </w:r>
    </w:p>
    <w:p w14:paraId="504632D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学习标记：文档打开并完成预览（无需检测浏览时长，打开即标记），系统自动标记该章节为「已完成」，同步至学习记录。</w:t>
      </w:r>
    </w:p>
    <w:p w14:paraId="6746C93E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5. 课程考试功能</w:t>
      </w:r>
      <w:bookmarkEnd w:id="9"/>
    </w:p>
    <w:p w14:paraId="0DD73E8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考试准入：必须完成该课程所有章节的学习（所有章节标记为「已完成」），才能进入课程考试页面，未完成则提示「请先完成课程所有章节学习」；</w:t>
      </w:r>
    </w:p>
    <w:p w14:paraId="5AFEB13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考题类型：仅支持单选题、多选题、填空题，考题由AI基于课程内容生成，本地无手动新增考题功能；</w:t>
      </w:r>
    </w:p>
    <w:p w14:paraId="61951A2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考试作答：提交考卷后系统</w:t>
      </w:r>
      <w:r>
        <w:rPr>
          <w:rFonts w:ascii="Arial" w:hAnsi="Arial" w:eastAsia="等线" w:cs="Arial"/>
          <w:b/>
          <w:sz w:val="22"/>
        </w:rPr>
        <w:t>自动阅卷并实时显示成绩</w:t>
      </w:r>
      <w:r>
        <w:rPr>
          <w:rFonts w:ascii="Arial" w:hAnsi="Arial" w:eastAsia="等线" w:cs="Arial"/>
          <w:sz w:val="22"/>
        </w:rPr>
        <w:t>，无考试时间限制、无多次作答限制；</w:t>
      </w:r>
    </w:p>
    <w:p w14:paraId="47B3D0D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阅卷规则：单选题/填空题按「答案精准匹配」计分，多选题按「正确选项数量占比」计分（如4个正确选项选对2个得50%分值），总分自动计算。</w:t>
      </w:r>
    </w:p>
    <w:p w14:paraId="4446E6E2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6. AI客服助手</w:t>
      </w:r>
      <w:bookmarkEnd w:id="10"/>
    </w:p>
    <w:p w14:paraId="0B0C604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展示形式：网站右下角悬浮弹窗，点击可展开/收起，无其他展示方式；</w:t>
      </w:r>
    </w:p>
    <w:p w14:paraId="7510344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核心能力：接收员工输入的问题，</w:t>
      </w:r>
      <w:r>
        <w:rPr>
          <w:rFonts w:ascii="Arial" w:hAnsi="Arial" w:eastAsia="等线" w:cs="Arial"/>
          <w:b/>
          <w:sz w:val="22"/>
        </w:rPr>
        <w:t>基于网站内上传的课程视频/文档内容做专业回答</w:t>
      </w:r>
      <w:r>
        <w:rPr>
          <w:rFonts w:ascii="Arial" w:hAnsi="Arial" w:eastAsia="等线" w:cs="Arial"/>
          <w:sz w:val="22"/>
        </w:rPr>
        <w:t>，不回答无关问题；</w:t>
      </w:r>
    </w:p>
    <w:p w14:paraId="2A5DCB0D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回复形式：同步返回文字回复，无需流式输出、语音回复等功能；</w:t>
      </w:r>
    </w:p>
    <w:p w14:paraId="7C512C1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交互逻辑：支持多轮对话，无对话记录保存功能，刷新页面后对话记录清空。</w:t>
      </w:r>
    </w:p>
    <w:p w14:paraId="2038961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（三）AI核心功能</w:t>
      </w:r>
      <w:bookmarkEnd w:id="11"/>
    </w:p>
    <w:p w14:paraId="65A74B86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1. AI考题生成</w:t>
      </w:r>
      <w:bookmarkEnd w:id="12"/>
    </w:p>
    <w:p w14:paraId="18AE426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生成触发：针对单门课程，手动触发生成考题（无自动生成），可指定考题类型（单选/多选/填空）、考题数量；</w:t>
      </w:r>
    </w:p>
    <w:p w14:paraId="2692BB2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生成依据：基于该课程的所有视频内容、文档内容生成考题，考题贴合课程知识点，无偏题、怪题；</w:t>
      </w:r>
    </w:p>
    <w:p w14:paraId="5491E12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格式要求：AI生成的考题需按固定格式返回，包含「题目、答案、分值」，分值统一为1分/题；</w:t>
      </w:r>
    </w:p>
    <w:p w14:paraId="05B2B3C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考题存储：生成后的考题自动存入本地考题表，仅用于该课程的考试，无考题编辑、删除功能。</w:t>
      </w:r>
    </w:p>
    <w:p w14:paraId="2DD754DC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2. AI自动阅卷</w:t>
      </w:r>
      <w:bookmarkEnd w:id="13"/>
    </w:p>
    <w:p w14:paraId="0B174B0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阅卷触发：员工提交考卷后自动触发，无需手动操作；</w:t>
      </w:r>
    </w:p>
    <w:p w14:paraId="6DBE6C6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计分规则：按「考题类型差异化计分」，计分结果实时返回并展示给员工；</w:t>
      </w:r>
    </w:p>
    <w:p w14:paraId="189A0C5E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成绩展示：展示考卷总分、各题型答对数量、每题作答结果与正确答案对比。</w:t>
      </w:r>
    </w:p>
    <w:p w14:paraId="036F19C1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 AI客服问答</w:t>
      </w:r>
      <w:bookmarkEnd w:id="14"/>
    </w:p>
    <w:p w14:paraId="289C2BF0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问答触发：员工在客服弹窗输入问题并点击发送后触发；</w:t>
      </w:r>
    </w:p>
    <w:p w14:paraId="5AD4260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回答依据：严格基于网站内已上传的课程视频/文档内容回答，无内容支撑的问题回复「暂无相关解答」；</w:t>
      </w:r>
    </w:p>
    <w:p w14:paraId="1F9E4D7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无上下文记忆：多轮对话仅基于当前会话，刷新页面后无历史对话记忆，重新提问需重新触发分析。</w:t>
      </w:r>
    </w:p>
    <w:p w14:paraId="1FA7415D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三、非功能需求</w:t>
      </w:r>
      <w:bookmarkEnd w:id="15"/>
    </w:p>
    <w:p w14:paraId="1DB53F3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页面还原</w:t>
      </w:r>
      <w:r>
        <w:rPr>
          <w:rFonts w:ascii="Arial" w:hAnsi="Arial" w:eastAsia="等线" w:cs="Arial"/>
          <w:sz w:val="22"/>
        </w:rPr>
        <w:t>：核心模块（课程列表、课程详情分栏、视频播放页、文档预览页、考试页）参考公司现有培训网站布局实现，样式无需1:1复刻，保证「模块清晰、操作便捷」即可，无精美UI设计需求；</w:t>
      </w:r>
    </w:p>
    <w:p w14:paraId="79C43C7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性能要求</w:t>
      </w:r>
      <w:r>
        <w:rPr>
          <w:rFonts w:ascii="Arial" w:hAnsi="Arial" w:eastAsia="等线" w:cs="Arial"/>
          <w:sz w:val="22"/>
        </w:rPr>
        <w:t>：因并发≤5，无需做性能优化，页面打开速度、视频播放速度满足正常办公使用即可；</w:t>
      </w:r>
    </w:p>
    <w:p w14:paraId="1ED0A65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</w:t>
      </w:r>
      <w:r>
        <w:rPr>
          <w:rFonts w:ascii="Arial" w:hAnsi="Arial" w:eastAsia="等线" w:cs="Arial"/>
          <w:sz w:val="22"/>
        </w:rPr>
        <w:t>：仅支持主流电脑浏览器（Chrome、Edge、Firefox），无需做移动端、小众浏览器兼容；</w:t>
      </w:r>
    </w:p>
    <w:p w14:paraId="6FFA207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数据存储</w:t>
      </w:r>
      <w:r>
        <w:rPr>
          <w:rFonts w:ascii="Arial" w:hAnsi="Arial" w:eastAsia="等线" w:cs="Arial"/>
          <w:sz w:val="22"/>
        </w:rPr>
        <w:t>：视频、文档直接存储在服务器本地，无需使用对象存储（OSS）；员工表、课程表、学习记录表、考题表等数据存储在SQLite数据库（Django自带），无需单独部署MySQL；</w:t>
      </w:r>
    </w:p>
    <w:p w14:paraId="417712D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维护要求</w:t>
      </w:r>
      <w:r>
        <w:rPr>
          <w:rFonts w:ascii="Arial" w:hAnsi="Arial" w:eastAsia="等线" w:cs="Arial"/>
          <w:sz w:val="22"/>
        </w:rPr>
        <w:t>：开发完成后无需复杂的维护操作，仅需每月手动备份一次本地数据库和日志文件即可。</w:t>
      </w:r>
    </w:p>
    <w:p w14:paraId="518C8CC7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四、ERP接口对接要求</w:t>
      </w:r>
      <w:bookmarkEnd w:id="16"/>
    </w:p>
    <w:p w14:paraId="1738A369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（一）接口基础信息</w:t>
      </w:r>
      <w:bookmarkEnd w:id="17"/>
    </w:p>
    <w:p w14:paraId="541000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需公司ERP侧提供以下核心接口信息，作为本地同步开发的依据：</w:t>
      </w:r>
    </w:p>
    <w:p w14:paraId="6C0C230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接口访问地址（URL）：________________________</w:t>
      </w:r>
    </w:p>
    <w:p w14:paraId="35902A3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接口请求方式：□ GET □ POST</w:t>
      </w:r>
    </w:p>
    <w:p w14:paraId="7784F15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接口鉴权方式：□ Token（请求头携带） □ API Key □ IP白名单 □ 其他：__________</w:t>
      </w:r>
    </w:p>
    <w:p w14:paraId="2BF14157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接口返回格式：JSON（必须）</w:t>
      </w:r>
    </w:p>
    <w:p w14:paraId="17F5FAB7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（二）接口返回核心字段</w:t>
      </w:r>
      <w:bookmarkEnd w:id="18"/>
    </w:p>
    <w:p w14:paraId="2356B9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ERP接口返回的员工数据必须包含以下</w:t>
      </w:r>
      <w:r>
        <w:rPr>
          <w:rFonts w:ascii="Arial" w:hAnsi="Arial" w:eastAsia="等线" w:cs="Arial"/>
          <w:b/>
          <w:sz w:val="22"/>
        </w:rPr>
        <w:t>必填字段</w:t>
      </w:r>
      <w:r>
        <w:rPr>
          <w:rFonts w:ascii="Arial" w:hAnsi="Arial" w:eastAsia="等线" w:cs="Arial"/>
          <w:sz w:val="22"/>
        </w:rPr>
        <w:t>，可选字段按需提供，字段格式为JSON数组：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F2CC8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7E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9E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8E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BE0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3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示例值</w:t>
            </w:r>
          </w:p>
        </w:tc>
      </w:tr>
      <w:tr w14:paraId="5EBE80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42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employee_id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BB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B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员工工号（唯一标识）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36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F61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"001"</w:t>
            </w:r>
          </w:p>
        </w:tc>
      </w:tr>
      <w:tr w14:paraId="4FD7FE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DB7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83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372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员工姓名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22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DD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"张三"</w:t>
            </w:r>
          </w:p>
        </w:tc>
      </w:tr>
      <w:tr w14:paraId="147152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EA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03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C2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员工登录密码（明文/加密）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A0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20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"xxx123456"</w:t>
            </w:r>
          </w:p>
        </w:tc>
      </w:tr>
      <w:tr w14:paraId="6FC9C1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C7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76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0D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员工状态（1=启用，0=禁用）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9F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94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66FB5F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9E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department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CD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6D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员工所属部门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BE9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75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"客服部"</w:t>
            </w:r>
          </w:p>
        </w:tc>
      </w:tr>
      <w:tr w14:paraId="0092F8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A7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D4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E3D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按需补充（如岗位、入职时间）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7A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17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382EBE8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（三）接口访问限制</w:t>
      </w:r>
      <w:bookmarkEnd w:id="19"/>
    </w:p>
    <w:p w14:paraId="7E046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ERP侧需允许网站部署的云服务器IP访问该接口，无访问频率、访问次数限制（支持每5分钟一次的同步请求）。</w:t>
      </w:r>
    </w:p>
    <w:p w14:paraId="469A102B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五、需求确认闭环</w:t>
      </w:r>
      <w:bookmarkEnd w:id="20"/>
    </w:p>
    <w:p w14:paraId="20A7CF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本需求文档经以下相关负责人确认后，作为开发唯一依据，开发过程中无特殊情况不做需求变更；若需变更，需重新走确认流程。</w:t>
      </w:r>
    </w:p>
    <w:p w14:paraId="4ED1CD5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开发负责人确认：__________  日期：__________</w:t>
      </w:r>
    </w:p>
    <w:p w14:paraId="64F31F6E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ERP接口负责人确认：__________  日期：__________</w:t>
      </w:r>
    </w:p>
    <w:p w14:paraId="52B77D6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公司培训需求负责人确认：__________  日期：__________</w:t>
      </w:r>
    </w:p>
    <w:p w14:paraId="3C0B8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26DB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0D93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893F265"/>
    <w:multiLevelType w:val="singleLevel"/>
    <w:tmpl w:val="F893F26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0709FD3E"/>
    <w:multiLevelType w:val="singleLevel"/>
    <w:tmpl w:val="0709FD3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1C257C7B"/>
    <w:multiLevelType w:val="singleLevel"/>
    <w:tmpl w:val="1C257C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6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6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5"/>
  </w:num>
  <w:num w:numId="2">
    <w:abstractNumId w:val="16"/>
  </w:num>
  <w:num w:numId="3">
    <w:abstractNumId w:val="48"/>
  </w:num>
  <w:num w:numId="4">
    <w:abstractNumId w:val="14"/>
  </w:num>
  <w:num w:numId="5">
    <w:abstractNumId w:val="10"/>
  </w:num>
  <w:num w:numId="6">
    <w:abstractNumId w:val="27"/>
  </w:num>
  <w:num w:numId="7">
    <w:abstractNumId w:val="36"/>
  </w:num>
  <w:num w:numId="8">
    <w:abstractNumId w:val="55"/>
  </w:num>
  <w:num w:numId="9">
    <w:abstractNumId w:val="24"/>
  </w:num>
  <w:num w:numId="10">
    <w:abstractNumId w:val="26"/>
  </w:num>
  <w:num w:numId="11">
    <w:abstractNumId w:val="5"/>
  </w:num>
  <w:num w:numId="12">
    <w:abstractNumId w:val="37"/>
  </w:num>
  <w:num w:numId="13">
    <w:abstractNumId w:val="49"/>
  </w:num>
  <w:num w:numId="14">
    <w:abstractNumId w:val="15"/>
  </w:num>
  <w:num w:numId="15">
    <w:abstractNumId w:val="45"/>
  </w:num>
  <w:num w:numId="16">
    <w:abstractNumId w:val="22"/>
  </w:num>
  <w:num w:numId="17">
    <w:abstractNumId w:val="35"/>
  </w:num>
  <w:num w:numId="18">
    <w:abstractNumId w:val="19"/>
  </w:num>
  <w:num w:numId="19">
    <w:abstractNumId w:val="18"/>
  </w:num>
  <w:num w:numId="20">
    <w:abstractNumId w:val="7"/>
  </w:num>
  <w:num w:numId="21">
    <w:abstractNumId w:val="43"/>
  </w:num>
  <w:num w:numId="22">
    <w:abstractNumId w:val="52"/>
  </w:num>
  <w:num w:numId="23">
    <w:abstractNumId w:val="30"/>
  </w:num>
  <w:num w:numId="24">
    <w:abstractNumId w:val="42"/>
  </w:num>
  <w:num w:numId="25">
    <w:abstractNumId w:val="8"/>
  </w:num>
  <w:num w:numId="26">
    <w:abstractNumId w:val="59"/>
  </w:num>
  <w:num w:numId="27">
    <w:abstractNumId w:val="57"/>
  </w:num>
  <w:num w:numId="28">
    <w:abstractNumId w:val="13"/>
  </w:num>
  <w:num w:numId="29">
    <w:abstractNumId w:val="53"/>
  </w:num>
  <w:num w:numId="30">
    <w:abstractNumId w:val="6"/>
  </w:num>
  <w:num w:numId="31">
    <w:abstractNumId w:val="41"/>
  </w:num>
  <w:num w:numId="32">
    <w:abstractNumId w:val="2"/>
  </w:num>
  <w:num w:numId="33">
    <w:abstractNumId w:val="47"/>
  </w:num>
  <w:num w:numId="34">
    <w:abstractNumId w:val="60"/>
  </w:num>
  <w:num w:numId="35">
    <w:abstractNumId w:val="0"/>
  </w:num>
  <w:num w:numId="36">
    <w:abstractNumId w:val="34"/>
  </w:num>
  <w:num w:numId="37">
    <w:abstractNumId w:val="46"/>
  </w:num>
  <w:num w:numId="38">
    <w:abstractNumId w:val="23"/>
  </w:num>
  <w:num w:numId="39">
    <w:abstractNumId w:val="20"/>
  </w:num>
  <w:num w:numId="40">
    <w:abstractNumId w:val="38"/>
  </w:num>
  <w:num w:numId="41">
    <w:abstractNumId w:val="58"/>
  </w:num>
  <w:num w:numId="42">
    <w:abstractNumId w:val="12"/>
  </w:num>
  <w:num w:numId="43">
    <w:abstractNumId w:val="4"/>
  </w:num>
  <w:num w:numId="44">
    <w:abstractNumId w:val="11"/>
  </w:num>
  <w:num w:numId="45">
    <w:abstractNumId w:val="50"/>
  </w:num>
  <w:num w:numId="46">
    <w:abstractNumId w:val="1"/>
  </w:num>
  <w:num w:numId="47">
    <w:abstractNumId w:val="31"/>
  </w:num>
  <w:num w:numId="48">
    <w:abstractNumId w:val="3"/>
  </w:num>
  <w:num w:numId="49">
    <w:abstractNumId w:val="51"/>
  </w:num>
  <w:num w:numId="50">
    <w:abstractNumId w:val="56"/>
  </w:num>
  <w:num w:numId="51">
    <w:abstractNumId w:val="44"/>
  </w:num>
  <w:num w:numId="52">
    <w:abstractNumId w:val="39"/>
  </w:num>
  <w:num w:numId="53">
    <w:abstractNumId w:val="54"/>
  </w:num>
  <w:num w:numId="54">
    <w:abstractNumId w:val="28"/>
  </w:num>
  <w:num w:numId="55">
    <w:abstractNumId w:val="29"/>
  </w:num>
  <w:num w:numId="56">
    <w:abstractNumId w:val="17"/>
  </w:num>
  <w:num w:numId="57">
    <w:abstractNumId w:val="40"/>
  </w:num>
  <w:num w:numId="58">
    <w:abstractNumId w:val="32"/>
  </w:num>
  <w:num w:numId="59">
    <w:abstractNumId w:val="21"/>
  </w:num>
  <w:num w:numId="60">
    <w:abstractNumId w:val="33"/>
  </w:num>
  <w:num w:numId="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6906A5"/>
    <w:rsid w:val="3BB57101"/>
    <w:rsid w:val="402C32AB"/>
    <w:rsid w:val="528305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2944</Words>
  <Characters>3268</Characters>
  <TotalTime>11</TotalTime>
  <ScaleCrop>false</ScaleCrop>
  <LinksUpToDate>false</LinksUpToDate>
  <CharactersWithSpaces>3297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2026-02-28T07:23:00Z</dcterms:created>
  <dc:creator>Apache POI</dc:creator>
  <cp:lastModifiedBy>WPS_1726211270</cp:lastModifiedBy>
  <dcterms:modified xsi:type="dcterms:W3CDTF">2026-03-11T02:13:42Z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eyJoZGlkIjoiMTc4MWE1NThjYWQxZDc2ZjczZWE5MGRjNzFhNTc4MGEiLCJ1c2VySWQiOiIxNjM1ODg1ODEwIn0=</vt:lpwstr>
  </property>
  <property fmtid="{D5CDD505-2E9C-101B-9397-08002B2CF9AE}" pid="3" name="KSOProductBuildVer">
    <vt:lpwstr>2052-12.1.0.25225</vt:lpwstr>
  </property>
  <property fmtid="{D5CDD505-2E9C-101B-9397-08002B2CF9AE}" pid="4" name="ICV">
    <vt:lpwstr>98FCFAB1756C4ADF8C8FCDB65030A88D_13</vt:lpwstr>
  </property>
</Properties>
</file>