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6009" w14:textId="77777777" w:rsidR="00E35226" w:rsidRDefault="00E35226" w:rsidP="00E35226">
      <w:pPr>
        <w:spacing w:line="720" w:lineRule="auto"/>
        <w:ind w:firstLineChars="0" w:firstLine="0"/>
        <w:rPr>
          <w:rFonts w:ascii="宋体" w:hAnsi="宋体" w:cs="等线"/>
          <w:szCs w:val="21"/>
        </w:rPr>
      </w:pPr>
    </w:p>
    <w:p w14:paraId="4C1F2E19" w14:textId="77777777" w:rsidR="00B83ED6" w:rsidRDefault="00B83ED6" w:rsidP="00E35226">
      <w:pPr>
        <w:spacing w:line="720" w:lineRule="auto"/>
        <w:ind w:firstLineChars="0" w:firstLine="0"/>
        <w:rPr>
          <w:rFonts w:ascii="宋体" w:hAnsi="宋体" w:cs="等线" w:hint="eastAsia"/>
          <w:szCs w:val="21"/>
        </w:rPr>
      </w:pPr>
    </w:p>
    <w:p w14:paraId="1B7C4A64" w14:textId="19D75981" w:rsidR="00690CF5" w:rsidRDefault="00E35226" w:rsidP="00E35226">
      <w:pPr>
        <w:spacing w:line="720" w:lineRule="auto"/>
        <w:ind w:firstLineChars="0" w:firstLine="0"/>
        <w:jc w:val="center"/>
        <w:rPr>
          <w:rFonts w:ascii="宋体" w:hAnsi="宋体" w:cs="等线"/>
          <w:b/>
          <w:sz w:val="44"/>
          <w:szCs w:val="44"/>
        </w:rPr>
      </w:pPr>
      <w:r w:rsidRPr="00E35226">
        <w:rPr>
          <w:rFonts w:ascii="宋体" w:hAnsi="宋体" w:cs="等线" w:hint="eastAsia"/>
          <w:b/>
          <w:sz w:val="44"/>
          <w:szCs w:val="44"/>
        </w:rPr>
        <w:t>“双碳”背景下绿色金融对能源消费结构的影响机制研究——以长江经济带为例</w:t>
      </w:r>
    </w:p>
    <w:p w14:paraId="39BF956C" w14:textId="77777777" w:rsidR="00E35226" w:rsidRDefault="00E35226" w:rsidP="00E35226">
      <w:pPr>
        <w:spacing w:line="720" w:lineRule="auto"/>
        <w:ind w:firstLineChars="0" w:firstLine="0"/>
        <w:rPr>
          <w:rFonts w:ascii="宋体" w:hAnsi="宋体" w:cs="等线"/>
          <w:b/>
          <w:sz w:val="44"/>
          <w:szCs w:val="44"/>
        </w:rPr>
      </w:pPr>
    </w:p>
    <w:p w14:paraId="036377F6" w14:textId="77777777" w:rsidR="00B83ED6" w:rsidRPr="00B83ED6" w:rsidRDefault="00B83ED6" w:rsidP="00E35226">
      <w:pPr>
        <w:spacing w:line="720" w:lineRule="auto"/>
        <w:ind w:firstLineChars="0" w:firstLine="0"/>
        <w:rPr>
          <w:rFonts w:ascii="宋体" w:hAnsi="宋体" w:cs="等线"/>
          <w:b/>
          <w:sz w:val="44"/>
          <w:szCs w:val="44"/>
        </w:rPr>
      </w:pPr>
    </w:p>
    <w:p w14:paraId="1168DE91" w14:textId="77777777" w:rsidR="00B83ED6" w:rsidRPr="00E35226" w:rsidRDefault="00B83ED6" w:rsidP="00E35226">
      <w:pPr>
        <w:spacing w:line="720" w:lineRule="auto"/>
        <w:ind w:firstLineChars="0" w:firstLine="0"/>
        <w:rPr>
          <w:rFonts w:ascii="宋体" w:hAnsi="宋体" w:cs="等线" w:hint="eastAsia"/>
          <w:b/>
          <w:sz w:val="44"/>
          <w:szCs w:val="44"/>
        </w:rPr>
      </w:pPr>
    </w:p>
    <w:p w14:paraId="1162BA32" w14:textId="77777777" w:rsidR="00795C9A" w:rsidRDefault="00795C9A" w:rsidP="00795C9A">
      <w:pPr>
        <w:wordWrap w:val="0"/>
        <w:spacing w:line="720" w:lineRule="auto"/>
        <w:ind w:leftChars="175" w:left="420" w:firstLine="560"/>
        <w:rPr>
          <w:rFonts w:ascii="宋体" w:hAnsi="宋体" w:cs="等线"/>
          <w:sz w:val="28"/>
          <w:szCs w:val="28"/>
        </w:rPr>
      </w:pPr>
      <w:r>
        <w:rPr>
          <w:rFonts w:ascii="宋体" w:hAnsi="宋体" w:cs="等线"/>
          <w:sz w:val="28"/>
          <w:szCs w:val="28"/>
        </w:rPr>
        <w:t>作品类别：</w:t>
      </w:r>
      <w:r>
        <w:rPr>
          <w:rFonts w:ascii="宋体" w:hAnsi="宋体" w:cs="等线"/>
          <w:sz w:val="28"/>
          <w:szCs w:val="28"/>
          <w:u w:val="single"/>
        </w:rPr>
        <w:t xml:space="preserve">          </w:t>
      </w:r>
      <w:r>
        <w:rPr>
          <w:rFonts w:ascii="宋体" w:hAnsi="宋体" w:cs="等线" w:hint="eastAsia"/>
          <w:sz w:val="28"/>
          <w:szCs w:val="28"/>
          <w:u w:val="single"/>
        </w:rPr>
        <w:t>学术论文类</w:t>
      </w:r>
      <w:r>
        <w:rPr>
          <w:rFonts w:ascii="宋体" w:hAnsi="宋体" w:cs="等线"/>
          <w:sz w:val="28"/>
          <w:szCs w:val="28"/>
          <w:u w:val="single"/>
        </w:rPr>
        <w:t xml:space="preserve">              </w:t>
      </w:r>
    </w:p>
    <w:p w14:paraId="138DC576" w14:textId="77777777" w:rsidR="00795C9A" w:rsidRDefault="00795C9A" w:rsidP="00795C9A">
      <w:pPr>
        <w:wordWrap w:val="0"/>
        <w:spacing w:line="720" w:lineRule="auto"/>
        <w:ind w:leftChars="175" w:left="420" w:firstLine="560"/>
        <w:rPr>
          <w:rFonts w:ascii="宋体" w:hAnsi="宋体" w:cs="等线"/>
          <w:sz w:val="28"/>
          <w:szCs w:val="28"/>
          <w:u w:val="single"/>
        </w:rPr>
      </w:pPr>
      <w:r>
        <w:rPr>
          <w:rFonts w:ascii="宋体" w:hAnsi="宋体" w:cs="等线"/>
          <w:sz w:val="28"/>
          <w:szCs w:val="28"/>
        </w:rPr>
        <w:t>学    校：</w:t>
      </w:r>
      <w:r>
        <w:rPr>
          <w:rFonts w:ascii="宋体" w:hAnsi="宋体" w:cs="等线"/>
          <w:sz w:val="28"/>
          <w:szCs w:val="28"/>
          <w:u w:val="single"/>
        </w:rPr>
        <w:t xml:space="preserve">         </w:t>
      </w:r>
      <w:r>
        <w:rPr>
          <w:rFonts w:ascii="宋体" w:hAnsi="宋体" w:cs="等线" w:hint="eastAsia"/>
          <w:sz w:val="28"/>
          <w:szCs w:val="28"/>
          <w:u w:val="single"/>
        </w:rPr>
        <w:t xml:space="preserve">湖南工商大学 </w:t>
      </w:r>
      <w:r>
        <w:rPr>
          <w:rFonts w:ascii="宋体" w:hAnsi="宋体" w:cs="等线"/>
          <w:sz w:val="28"/>
          <w:szCs w:val="28"/>
          <w:u w:val="single"/>
        </w:rPr>
        <w:t xml:space="preserve">            </w:t>
      </w:r>
    </w:p>
    <w:p w14:paraId="40DCF11D" w14:textId="77777777" w:rsidR="00795C9A" w:rsidRDefault="00795C9A" w:rsidP="00795C9A">
      <w:pPr>
        <w:wordWrap w:val="0"/>
        <w:spacing w:line="720" w:lineRule="auto"/>
        <w:ind w:leftChars="175" w:left="420" w:firstLine="560"/>
        <w:rPr>
          <w:rFonts w:ascii="宋体" w:hAnsi="宋体" w:cs="等线"/>
          <w:sz w:val="28"/>
          <w:szCs w:val="28"/>
        </w:rPr>
      </w:pPr>
      <w:r>
        <w:rPr>
          <w:rFonts w:ascii="宋体" w:hAnsi="宋体" w:cs="等线"/>
          <w:sz w:val="28"/>
          <w:szCs w:val="28"/>
        </w:rPr>
        <w:t>作者团队：</w:t>
      </w:r>
      <w:r>
        <w:rPr>
          <w:rFonts w:ascii="宋体" w:hAnsi="宋体" w:cs="等线"/>
          <w:sz w:val="28"/>
          <w:szCs w:val="28"/>
          <w:u w:val="single"/>
        </w:rPr>
        <w:t xml:space="preserve">    </w:t>
      </w:r>
      <w:proofErr w:type="gramStart"/>
      <w:r>
        <w:rPr>
          <w:rFonts w:ascii="宋体" w:hAnsi="宋体" w:cs="等线" w:hint="eastAsia"/>
          <w:sz w:val="28"/>
          <w:szCs w:val="28"/>
          <w:u w:val="single"/>
        </w:rPr>
        <w:t>桑汇阳</w:t>
      </w:r>
      <w:proofErr w:type="gramEnd"/>
      <w:r>
        <w:rPr>
          <w:rFonts w:ascii="宋体" w:hAnsi="宋体" w:cs="等线" w:hint="eastAsia"/>
          <w:sz w:val="28"/>
          <w:szCs w:val="28"/>
          <w:u w:val="single"/>
        </w:rPr>
        <w:t>、黎卓、何</w:t>
      </w:r>
      <w:proofErr w:type="gramStart"/>
      <w:r>
        <w:rPr>
          <w:rFonts w:ascii="宋体" w:hAnsi="宋体" w:cs="等线" w:hint="eastAsia"/>
          <w:sz w:val="28"/>
          <w:szCs w:val="28"/>
          <w:u w:val="single"/>
        </w:rPr>
        <w:t>郴</w:t>
      </w:r>
      <w:proofErr w:type="gramEnd"/>
      <w:r>
        <w:rPr>
          <w:rFonts w:ascii="宋体" w:hAnsi="宋体" w:cs="等线" w:hint="eastAsia"/>
          <w:sz w:val="28"/>
          <w:szCs w:val="28"/>
          <w:u w:val="single"/>
        </w:rPr>
        <w:t>、张晋恺</w:t>
      </w:r>
      <w:r>
        <w:rPr>
          <w:rFonts w:ascii="宋体" w:hAnsi="宋体" w:cs="等线"/>
          <w:sz w:val="28"/>
          <w:szCs w:val="28"/>
          <w:u w:val="single"/>
        </w:rPr>
        <w:t xml:space="preserve">    </w:t>
      </w:r>
    </w:p>
    <w:p w14:paraId="771AC47C" w14:textId="77777777" w:rsidR="00795C9A" w:rsidRDefault="00795C9A" w:rsidP="00795C9A">
      <w:pPr>
        <w:wordWrap w:val="0"/>
        <w:spacing w:line="240" w:lineRule="auto"/>
        <w:ind w:leftChars="175" w:left="420" w:firstLine="560"/>
        <w:rPr>
          <w:rFonts w:ascii="宋体" w:hAnsi="宋体" w:cs="等线"/>
          <w:sz w:val="28"/>
          <w:szCs w:val="28"/>
          <w:u w:val="single"/>
        </w:rPr>
      </w:pPr>
      <w:r>
        <w:rPr>
          <w:rFonts w:ascii="宋体" w:hAnsi="宋体" w:cs="等线"/>
          <w:sz w:val="28"/>
          <w:szCs w:val="28"/>
        </w:rPr>
        <w:t>学    号：</w:t>
      </w:r>
      <w:r>
        <w:rPr>
          <w:rFonts w:ascii="宋体" w:hAnsi="宋体" w:cs="等线"/>
          <w:sz w:val="28"/>
          <w:szCs w:val="28"/>
          <w:u w:val="single"/>
        </w:rPr>
        <w:t>2112010072</w:t>
      </w:r>
      <w:r>
        <w:rPr>
          <w:rFonts w:ascii="宋体" w:hAnsi="宋体" w:cs="等线" w:hint="eastAsia"/>
          <w:sz w:val="28"/>
          <w:szCs w:val="28"/>
          <w:u w:val="single"/>
        </w:rPr>
        <w:t>、</w:t>
      </w:r>
      <w:r w:rsidRPr="00015A85">
        <w:rPr>
          <w:rFonts w:ascii="宋体" w:hAnsi="宋体" w:cs="等线"/>
          <w:sz w:val="28"/>
          <w:szCs w:val="28"/>
          <w:u w:val="single"/>
        </w:rPr>
        <w:t>2103070081</w:t>
      </w:r>
      <w:r>
        <w:rPr>
          <w:rFonts w:ascii="宋体" w:hAnsi="宋体" w:cs="等线" w:hint="eastAsia"/>
          <w:sz w:val="28"/>
          <w:szCs w:val="28"/>
          <w:u w:val="single"/>
        </w:rPr>
        <w:t>、2</w:t>
      </w:r>
      <w:r>
        <w:rPr>
          <w:rFonts w:ascii="宋体" w:hAnsi="宋体" w:cs="等线"/>
          <w:sz w:val="28"/>
          <w:szCs w:val="28"/>
          <w:u w:val="single"/>
        </w:rPr>
        <w:t>103070062</w:t>
      </w:r>
    </w:p>
    <w:p w14:paraId="58F0C6B3" w14:textId="77777777" w:rsidR="00795C9A" w:rsidRDefault="00795C9A" w:rsidP="00795C9A">
      <w:pPr>
        <w:wordWrap w:val="0"/>
        <w:spacing w:line="240" w:lineRule="auto"/>
        <w:ind w:leftChars="175" w:left="420" w:firstLine="560"/>
        <w:rPr>
          <w:rFonts w:ascii="宋体" w:hAnsi="宋体" w:cs="等线"/>
          <w:sz w:val="28"/>
          <w:szCs w:val="28"/>
        </w:rPr>
      </w:pPr>
      <w:r w:rsidRPr="00015A85">
        <w:rPr>
          <w:rFonts w:ascii="宋体" w:hAnsi="宋体" w:cs="等线"/>
          <w:sz w:val="28"/>
          <w:szCs w:val="28"/>
        </w:rPr>
        <w:t xml:space="preserve">          </w:t>
      </w:r>
      <w:r>
        <w:rPr>
          <w:rFonts w:ascii="宋体" w:hAnsi="宋体" w:cs="等线"/>
          <w:sz w:val="28"/>
          <w:szCs w:val="28"/>
          <w:u w:val="single"/>
        </w:rPr>
        <w:t xml:space="preserve">            </w:t>
      </w:r>
      <w:r w:rsidRPr="00015A85">
        <w:rPr>
          <w:rFonts w:ascii="宋体" w:hAnsi="宋体" w:cs="等线"/>
          <w:sz w:val="28"/>
          <w:szCs w:val="28"/>
          <w:u w:val="single"/>
        </w:rPr>
        <w:t>2103060086</w:t>
      </w:r>
      <w:r>
        <w:rPr>
          <w:rFonts w:ascii="宋体" w:hAnsi="宋体" w:cs="等线"/>
          <w:sz w:val="28"/>
          <w:szCs w:val="28"/>
          <w:u w:val="single"/>
        </w:rPr>
        <w:t xml:space="preserve">            </w:t>
      </w:r>
    </w:p>
    <w:p w14:paraId="2803B265" w14:textId="77777777" w:rsidR="00795C9A" w:rsidRDefault="00795C9A" w:rsidP="00795C9A">
      <w:pPr>
        <w:wordWrap w:val="0"/>
        <w:spacing w:line="720" w:lineRule="auto"/>
        <w:ind w:leftChars="175" w:left="420" w:firstLine="560"/>
        <w:rPr>
          <w:rFonts w:ascii="宋体" w:hAnsi="宋体" w:cs="等线"/>
          <w:sz w:val="28"/>
          <w:szCs w:val="28"/>
        </w:rPr>
      </w:pPr>
      <w:r>
        <w:rPr>
          <w:rFonts w:ascii="宋体" w:hAnsi="宋体" w:cs="等线"/>
          <w:sz w:val="28"/>
          <w:szCs w:val="28"/>
        </w:rPr>
        <w:t>指导老师：</w:t>
      </w:r>
      <w:r>
        <w:rPr>
          <w:rFonts w:ascii="宋体" w:hAnsi="宋体" w:cs="等线"/>
          <w:sz w:val="28"/>
          <w:szCs w:val="28"/>
          <w:u w:val="single"/>
        </w:rPr>
        <w:t xml:space="preserve">           </w:t>
      </w:r>
      <w:r>
        <w:rPr>
          <w:rFonts w:ascii="宋体" w:hAnsi="宋体" w:cs="等线" w:hint="eastAsia"/>
          <w:sz w:val="28"/>
          <w:szCs w:val="28"/>
          <w:u w:val="single"/>
        </w:rPr>
        <w:t>李欢、刘人春</w:t>
      </w:r>
      <w:r>
        <w:rPr>
          <w:rFonts w:ascii="宋体" w:hAnsi="宋体" w:cs="等线"/>
          <w:sz w:val="28"/>
          <w:szCs w:val="28"/>
          <w:u w:val="single"/>
        </w:rPr>
        <w:t xml:space="preserve">           </w:t>
      </w:r>
    </w:p>
    <w:p w14:paraId="486AE008" w14:textId="77777777" w:rsidR="00690CF5" w:rsidRDefault="00690CF5">
      <w:pPr>
        <w:widowControl/>
        <w:spacing w:line="240" w:lineRule="auto"/>
        <w:ind w:firstLineChars="0" w:firstLine="0"/>
        <w:jc w:val="left"/>
        <w:rPr>
          <w:rFonts w:ascii="仿宋" w:eastAsia="仿宋" w:hAnsi="仿宋"/>
          <w:b/>
          <w:bCs/>
          <w:sz w:val="21"/>
          <w:szCs w:val="21"/>
        </w:rPr>
      </w:pPr>
      <w:r>
        <w:rPr>
          <w:rFonts w:ascii="仿宋" w:eastAsia="仿宋" w:hAnsi="仿宋"/>
          <w:b/>
          <w:bCs/>
          <w:sz w:val="21"/>
          <w:szCs w:val="21"/>
        </w:rPr>
        <w:br w:type="page"/>
      </w:r>
    </w:p>
    <w:p w14:paraId="63514D42" w14:textId="3773BB4C" w:rsidR="00A726BA" w:rsidRPr="00C65393" w:rsidRDefault="00000000" w:rsidP="0045411C">
      <w:pPr>
        <w:ind w:firstLine="422"/>
        <w:rPr>
          <w:rFonts w:ascii="仿宋" w:eastAsia="仿宋" w:hAnsi="仿宋" w:hint="eastAsia"/>
          <w:sz w:val="21"/>
          <w:szCs w:val="21"/>
        </w:rPr>
      </w:pPr>
      <w:r w:rsidRPr="00C65393">
        <w:rPr>
          <w:rFonts w:ascii="仿宋" w:eastAsia="仿宋" w:hAnsi="仿宋" w:hint="eastAsia"/>
          <w:b/>
          <w:bCs/>
          <w:sz w:val="21"/>
          <w:szCs w:val="21"/>
        </w:rPr>
        <w:lastRenderedPageBreak/>
        <w:t>摘要</w:t>
      </w:r>
      <w:r w:rsidR="00BE6BC4" w:rsidRPr="00C65393">
        <w:rPr>
          <w:rFonts w:ascii="仿宋" w:eastAsia="仿宋" w:hAnsi="仿宋" w:hint="eastAsia"/>
          <w:sz w:val="21"/>
          <w:szCs w:val="21"/>
        </w:rPr>
        <w:t>：</w:t>
      </w:r>
      <w:r w:rsidRPr="00C65393">
        <w:rPr>
          <w:rFonts w:ascii="仿宋" w:eastAsia="仿宋" w:hAnsi="仿宋" w:hint="eastAsia"/>
          <w:sz w:val="21"/>
          <w:szCs w:val="21"/>
        </w:rPr>
        <w:t>在我国“双碳”目标背景下，本文选取2010—2020年我国长江经济带11个省市地区面板数据，借助熵值法估算绿色金融发展指数，以煤炭消费量占能源消费总量的比重</w:t>
      </w:r>
      <w:proofErr w:type="gramStart"/>
      <w:r w:rsidRPr="00C65393">
        <w:rPr>
          <w:rFonts w:ascii="仿宋" w:eastAsia="仿宋" w:hAnsi="仿宋" w:hint="eastAsia"/>
          <w:sz w:val="21"/>
          <w:szCs w:val="21"/>
        </w:rPr>
        <w:t>来作</w:t>
      </w:r>
      <w:proofErr w:type="gramEnd"/>
      <w:r w:rsidRPr="00C65393">
        <w:rPr>
          <w:rFonts w:ascii="仿宋" w:eastAsia="仿宋" w:hAnsi="仿宋" w:hint="eastAsia"/>
          <w:sz w:val="21"/>
          <w:szCs w:val="21"/>
        </w:rPr>
        <w:t>为能源消费结构指标，实证分析绿色金融对于能源消费结构的影响。研究结果显示，我国长江经济</w:t>
      </w:r>
      <w:proofErr w:type="gramStart"/>
      <w:r w:rsidRPr="00C65393">
        <w:rPr>
          <w:rFonts w:ascii="仿宋" w:eastAsia="仿宋" w:hAnsi="仿宋" w:hint="eastAsia"/>
          <w:sz w:val="21"/>
          <w:szCs w:val="21"/>
        </w:rPr>
        <w:t>带地区</w:t>
      </w:r>
      <w:proofErr w:type="gramEnd"/>
      <w:r w:rsidRPr="00C65393">
        <w:rPr>
          <w:rFonts w:ascii="仿宋" w:eastAsia="仿宋" w:hAnsi="仿宋" w:hint="eastAsia"/>
          <w:sz w:val="21"/>
          <w:szCs w:val="21"/>
        </w:rPr>
        <w:t>绿色金融发展指标呈现波动式上升趋势，能源消费结构逐年优化。绿色金融发展能够显著推动能源消费结构的优化与转型。技术创新在绿色金融对能源消费结构的影响中起到部分中介作用。</w:t>
      </w:r>
      <w:r w:rsidR="00A726BA">
        <w:rPr>
          <w:rFonts w:ascii="仿宋" w:eastAsia="仿宋" w:hAnsi="仿宋" w:hint="eastAsia"/>
          <w:sz w:val="21"/>
          <w:szCs w:val="21"/>
        </w:rPr>
        <w:t>基于上述</w:t>
      </w:r>
      <w:proofErr w:type="gramStart"/>
      <w:r w:rsidR="00A726BA">
        <w:rPr>
          <w:rFonts w:ascii="仿宋" w:eastAsia="仿宋" w:hAnsi="仿宋" w:hint="eastAsia"/>
          <w:sz w:val="21"/>
          <w:szCs w:val="21"/>
        </w:rPr>
        <w:t>考量</w:t>
      </w:r>
      <w:proofErr w:type="gramEnd"/>
      <w:r w:rsidR="00A726BA">
        <w:rPr>
          <w:rFonts w:ascii="仿宋" w:eastAsia="仿宋" w:hAnsi="仿宋" w:hint="eastAsia"/>
          <w:sz w:val="21"/>
          <w:szCs w:val="21"/>
        </w:rPr>
        <w:t>，应健全绿色金融市场体系、改善能源结构、优化能源效率，以推动技术创新促进</w:t>
      </w:r>
      <w:r w:rsidR="008C0F5B">
        <w:rPr>
          <w:rFonts w:ascii="仿宋" w:eastAsia="仿宋" w:hAnsi="仿宋" w:hint="eastAsia"/>
          <w:sz w:val="21"/>
          <w:szCs w:val="21"/>
        </w:rPr>
        <w:t>地方能源消费结构转型，助力</w:t>
      </w:r>
      <w:proofErr w:type="gramStart"/>
      <w:r w:rsidR="008C0F5B">
        <w:rPr>
          <w:rFonts w:ascii="仿宋" w:eastAsia="仿宋" w:hAnsi="仿宋" w:hint="eastAsia"/>
          <w:sz w:val="21"/>
          <w:szCs w:val="21"/>
        </w:rPr>
        <w:t>国家双碳目标</w:t>
      </w:r>
      <w:proofErr w:type="gramEnd"/>
      <w:r w:rsidR="008C0F5B">
        <w:rPr>
          <w:rFonts w:ascii="仿宋" w:eastAsia="仿宋" w:hAnsi="仿宋" w:hint="eastAsia"/>
          <w:sz w:val="21"/>
          <w:szCs w:val="21"/>
        </w:rPr>
        <w:t>稳步推进。</w:t>
      </w:r>
    </w:p>
    <w:p w14:paraId="6706A901" w14:textId="77777777" w:rsidR="005F07D1" w:rsidRPr="00C65393" w:rsidRDefault="00000000" w:rsidP="0045411C">
      <w:pPr>
        <w:ind w:firstLine="422"/>
        <w:rPr>
          <w:rFonts w:ascii="仿宋" w:eastAsia="仿宋" w:hAnsi="仿宋"/>
          <w:sz w:val="21"/>
          <w:szCs w:val="21"/>
        </w:rPr>
      </w:pPr>
      <w:r w:rsidRPr="00C65393">
        <w:rPr>
          <w:rFonts w:ascii="仿宋" w:eastAsia="仿宋" w:hAnsi="仿宋" w:hint="eastAsia"/>
          <w:b/>
          <w:bCs/>
          <w:sz w:val="21"/>
          <w:szCs w:val="21"/>
        </w:rPr>
        <w:t>关键词</w:t>
      </w:r>
      <w:r w:rsidRPr="00C65393">
        <w:rPr>
          <w:rFonts w:ascii="仿宋" w:eastAsia="仿宋" w:hAnsi="仿宋" w:hint="eastAsia"/>
          <w:sz w:val="21"/>
          <w:szCs w:val="21"/>
        </w:rPr>
        <w:t>：</w:t>
      </w:r>
      <w:proofErr w:type="gramStart"/>
      <w:r w:rsidRPr="00C65393">
        <w:rPr>
          <w:rFonts w:ascii="仿宋" w:eastAsia="仿宋" w:hAnsi="仿宋" w:hint="eastAsia"/>
          <w:sz w:val="21"/>
          <w:szCs w:val="21"/>
        </w:rPr>
        <w:t>双碳目标</w:t>
      </w:r>
      <w:proofErr w:type="gramEnd"/>
      <w:r w:rsidRPr="00C65393">
        <w:rPr>
          <w:rFonts w:ascii="仿宋" w:eastAsia="仿宋" w:hAnsi="仿宋" w:hint="eastAsia"/>
          <w:sz w:val="21"/>
          <w:szCs w:val="21"/>
        </w:rPr>
        <w:t>；绿色金融；能源消费结构</w:t>
      </w:r>
    </w:p>
    <w:p w14:paraId="058E8713" w14:textId="22B6AFC7" w:rsidR="005F07D1" w:rsidRDefault="00BE6BC4" w:rsidP="00BE6BC4">
      <w:pPr>
        <w:pStyle w:val="1"/>
      </w:pPr>
      <w:r>
        <w:rPr>
          <w:rFonts w:hint="eastAsia"/>
        </w:rPr>
        <w:t>一、引言</w:t>
      </w:r>
    </w:p>
    <w:p w14:paraId="47E0931B" w14:textId="77777777" w:rsidR="005F07D1" w:rsidRPr="00BE6BC4" w:rsidRDefault="00000000" w:rsidP="0045411C">
      <w:r w:rsidRPr="00BE6BC4">
        <w:rPr>
          <w:rFonts w:hint="eastAsia"/>
        </w:rPr>
        <w:t>2020</w:t>
      </w:r>
      <w:r w:rsidRPr="00BE6BC4">
        <w:rPr>
          <w:rFonts w:hint="eastAsia"/>
        </w:rPr>
        <w:t>年，我国在第七十五届联合国大会上明确提出了“双碳”目标——中国力争</w:t>
      </w:r>
      <w:r w:rsidRPr="00BE6BC4">
        <w:rPr>
          <w:rFonts w:hint="eastAsia"/>
        </w:rPr>
        <w:t>2</w:t>
      </w:r>
      <w:r w:rsidRPr="00BE6BC4">
        <w:t>030</w:t>
      </w:r>
      <w:r w:rsidRPr="00BE6BC4">
        <w:rPr>
          <w:rFonts w:hint="eastAsia"/>
        </w:rPr>
        <w:t>年前二氧化碳排放达到峰值，努力争取</w:t>
      </w:r>
      <w:r w:rsidRPr="00BE6BC4">
        <w:rPr>
          <w:rFonts w:hint="eastAsia"/>
        </w:rPr>
        <w:t xml:space="preserve">2060 </w:t>
      </w:r>
      <w:r w:rsidRPr="00BE6BC4">
        <w:rPr>
          <w:rFonts w:hint="eastAsia"/>
        </w:rPr>
        <w:t>年前实现碳中和目标。党的二十大报告进一步强调了实施</w:t>
      </w:r>
      <w:proofErr w:type="gramStart"/>
      <w:r w:rsidRPr="00BE6BC4">
        <w:rPr>
          <w:rFonts w:hint="eastAsia"/>
        </w:rPr>
        <w:t>碳达峰行动</w:t>
      </w:r>
      <w:proofErr w:type="gramEnd"/>
      <w:r w:rsidRPr="00BE6BC4">
        <w:rPr>
          <w:rFonts w:hint="eastAsia"/>
        </w:rPr>
        <w:t>的重要性，要求推进能源革命，加强煤炭的清洁高效利用，并加快新型能源体系的规划建设。然而，目前我国以化石能源为主的能源结构难以</w:t>
      </w:r>
      <w:proofErr w:type="gramStart"/>
      <w:r w:rsidRPr="00BE6BC4">
        <w:rPr>
          <w:rFonts w:hint="eastAsia"/>
        </w:rPr>
        <w:t>满足碳减排</w:t>
      </w:r>
      <w:proofErr w:type="gramEnd"/>
      <w:r w:rsidRPr="00BE6BC4">
        <w:rPr>
          <w:rFonts w:hint="eastAsia"/>
        </w:rPr>
        <w:t>的高标准要求，因此实现“双碳”目标必须推进能源消费结构绿色低碳转型，推动构建清洁安全高效的现代能源体系。</w:t>
      </w:r>
    </w:p>
    <w:p w14:paraId="0D785D49" w14:textId="77777777" w:rsidR="005F07D1" w:rsidRPr="00BE6BC4" w:rsidRDefault="00000000" w:rsidP="0045411C">
      <w:pPr>
        <w:rPr>
          <w:color w:val="00B050"/>
        </w:rPr>
      </w:pPr>
      <w:r w:rsidRPr="00BE6BC4">
        <w:rPr>
          <w:rFonts w:hint="eastAsia"/>
        </w:rPr>
        <w:t>在此背景下，金融领域也孕育出了新的变革。近年来，绿色金融得到了飞速发展，主要工具包括绿色信贷、绿色证券、绿色投资和绿色保险。这些“绿色资金”扶持了绿色企业的发展，同时对高耗能企业实施了限制性约束，这直接影响了我国产业结构和能源结构的调整。此外，我国绿色金融体系以“双碳”目标为核心，制定严格的绿色金融标准，推动环境信息透明化，提供低成本的资金支持，推动能源结构优化与转型。</w:t>
      </w:r>
    </w:p>
    <w:p w14:paraId="5D9F7144" w14:textId="77777777" w:rsidR="005F07D1" w:rsidRPr="00BE6BC4" w:rsidRDefault="00000000" w:rsidP="0045411C">
      <w:r w:rsidRPr="00BE6BC4">
        <w:rPr>
          <w:rFonts w:hint="eastAsia"/>
        </w:rPr>
        <w:t>本文选择长江经济带</w:t>
      </w:r>
      <w:r w:rsidRPr="00BE6BC4">
        <w:rPr>
          <w:rFonts w:hint="eastAsia"/>
        </w:rPr>
        <w:t>11</w:t>
      </w:r>
      <w:r w:rsidRPr="00BE6BC4">
        <w:rPr>
          <w:rFonts w:hint="eastAsia"/>
        </w:rPr>
        <w:t>个省市作为研究对象主要是因为，首先，当前国家高度重视长江经济带的高质量发展，相关会议强调，推动长江经济带高质量发展，根本上依赖于长江流域高质量的生态环境。其次，当前长江经济带正处于能源消费结构转型升级期，且该地区的绿色金融体系渐趋完备，具有较大的研究意义。最后，长江经济带跨越东中西三大区域，作为研究样本，其代表性较强。</w:t>
      </w:r>
    </w:p>
    <w:p w14:paraId="48C91CF0" w14:textId="77777777" w:rsidR="005F07D1" w:rsidRDefault="00000000" w:rsidP="005C639C">
      <w:pPr>
        <w:pStyle w:val="1"/>
      </w:pPr>
      <w:r>
        <w:rPr>
          <w:rFonts w:hint="eastAsia"/>
        </w:rPr>
        <w:t>二、文献综述</w:t>
      </w:r>
    </w:p>
    <w:p w14:paraId="6667F7DB" w14:textId="77777777" w:rsidR="005F07D1" w:rsidRPr="00BE6BC4" w:rsidRDefault="00000000" w:rsidP="0045411C">
      <w:r w:rsidRPr="00BE6BC4">
        <w:rPr>
          <w:rFonts w:hint="eastAsia"/>
        </w:rPr>
        <w:t>本文主要从绿色金融发展水平、能源消费结构优化与转型现状、发展绿色金融对能源消费结构的影响三个方面对相关文献资料进行总结。</w:t>
      </w:r>
    </w:p>
    <w:p w14:paraId="3D9C7024" w14:textId="77777777" w:rsidR="005F07D1" w:rsidRPr="00BE6BC4" w:rsidRDefault="00000000" w:rsidP="0045411C">
      <w:pPr>
        <w:pStyle w:val="2"/>
        <w:ind w:firstLine="482"/>
      </w:pPr>
      <w:r w:rsidRPr="00BE6BC4">
        <w:rPr>
          <w:rFonts w:hint="eastAsia"/>
        </w:rPr>
        <w:t>（一）绿色金融的研究综述</w:t>
      </w:r>
    </w:p>
    <w:p w14:paraId="3586D7EA" w14:textId="77777777" w:rsidR="005F07D1" w:rsidRPr="00BE6BC4" w:rsidRDefault="00000000" w:rsidP="0045411C">
      <w:r w:rsidRPr="00BE6BC4">
        <w:rPr>
          <w:rFonts w:hint="eastAsia"/>
        </w:rPr>
        <w:t>绿色金融是指为支持环境改善、应对气候变化和资源节约高效利用的经济活动。近年来，我国绿色金融蓬勃发展，并被纳入</w:t>
      </w:r>
      <w:proofErr w:type="gramStart"/>
      <w:r w:rsidRPr="00BE6BC4">
        <w:rPr>
          <w:rFonts w:hint="eastAsia"/>
        </w:rPr>
        <w:t>碳达峰碳</w:t>
      </w:r>
      <w:proofErr w:type="gramEnd"/>
      <w:r w:rsidRPr="00BE6BC4">
        <w:rPr>
          <w:rFonts w:hint="eastAsia"/>
        </w:rPr>
        <w:t>中和“</w:t>
      </w:r>
      <w:r w:rsidRPr="00BE6BC4">
        <w:rPr>
          <w:rFonts w:hint="eastAsia"/>
        </w:rPr>
        <w:t>1</w:t>
      </w:r>
      <w:r w:rsidRPr="00BE6BC4">
        <w:t>+N</w:t>
      </w:r>
      <w:r w:rsidRPr="00BE6BC4">
        <w:rPr>
          <w:rFonts w:hint="eastAsia"/>
        </w:rPr>
        <w:t>”政策体系。学术界普遍认为，目前中国绿色金融虽然发展速度较快，但是发展水平仍然有待</w:t>
      </w:r>
      <w:r w:rsidRPr="00BE6BC4">
        <w:rPr>
          <w:rFonts w:hint="eastAsia"/>
        </w:rPr>
        <w:lastRenderedPageBreak/>
        <w:t>提高且存在区域发展的不平衡现象。王志强和王一凡（</w:t>
      </w:r>
      <w:r w:rsidRPr="00BE6BC4">
        <w:rPr>
          <w:rFonts w:hint="eastAsia"/>
        </w:rPr>
        <w:t>2020</w:t>
      </w:r>
      <w:r w:rsidRPr="00BE6BC4">
        <w:rPr>
          <w:rFonts w:hint="eastAsia"/>
        </w:rPr>
        <w:t>）认为绿色金融是联结金融机构与绿色发展的</w:t>
      </w:r>
      <w:r w:rsidRPr="00BE6BC4">
        <w:rPr>
          <w:rFonts w:hint="eastAsia"/>
        </w:rPr>
        <w:t>"</w:t>
      </w:r>
      <w:r w:rsidRPr="00BE6BC4">
        <w:rPr>
          <w:rFonts w:hint="eastAsia"/>
        </w:rPr>
        <w:t>润滑剂</w:t>
      </w:r>
      <w:r w:rsidRPr="00BE6BC4">
        <w:rPr>
          <w:rFonts w:hint="eastAsia"/>
        </w:rPr>
        <w:t>"</w:t>
      </w:r>
      <w:r w:rsidRPr="00BE6BC4">
        <w:rPr>
          <w:rFonts w:hint="eastAsia"/>
        </w:rPr>
        <w:t>和</w:t>
      </w:r>
      <w:r w:rsidRPr="00BE6BC4">
        <w:rPr>
          <w:rFonts w:hint="eastAsia"/>
        </w:rPr>
        <w:t>"</w:t>
      </w:r>
      <w:r w:rsidRPr="00BE6BC4">
        <w:rPr>
          <w:rFonts w:hint="eastAsia"/>
        </w:rPr>
        <w:t>助力器</w:t>
      </w:r>
      <w:r w:rsidRPr="00BE6BC4">
        <w:rPr>
          <w:rFonts w:hint="eastAsia"/>
        </w:rPr>
        <w:t>",</w:t>
      </w:r>
      <w:r w:rsidRPr="00BE6BC4">
        <w:rPr>
          <w:rFonts w:hint="eastAsia"/>
        </w:rPr>
        <w:t>是深化供给侧结构性改革、加快新旧动能转换和引领经济高质量发展的重要途径。</w:t>
      </w:r>
      <w:r w:rsidRPr="00BE6BC4">
        <w:t>邵宏伟和王卉彤（</w:t>
      </w:r>
      <w:r w:rsidRPr="00BE6BC4">
        <w:t>2023</w:t>
      </w:r>
      <w:r w:rsidRPr="00BE6BC4">
        <w:t>）认为我国绿色金融效率存在明显的区域差异，东部地区的绿色金融效率始终保持领先水平。</w:t>
      </w:r>
      <w:r w:rsidRPr="00BE6BC4">
        <w:rPr>
          <w:rFonts w:hint="eastAsia"/>
        </w:rPr>
        <w:t>李云燕和张硕（</w:t>
      </w:r>
      <w:r w:rsidRPr="00BE6BC4">
        <w:rPr>
          <w:rFonts w:hint="eastAsia"/>
        </w:rPr>
        <w:t>2023</w:t>
      </w:r>
      <w:r w:rsidRPr="00BE6BC4">
        <w:rPr>
          <w:rFonts w:hint="eastAsia"/>
        </w:rPr>
        <w:t>）认为绿色金融发展态势稳中向好，持续提升空间较大。</w:t>
      </w:r>
    </w:p>
    <w:p w14:paraId="111606C0" w14:textId="77777777" w:rsidR="005F07D1" w:rsidRPr="00BE6BC4" w:rsidRDefault="00000000" w:rsidP="0045411C">
      <w:r w:rsidRPr="00BE6BC4">
        <w:rPr>
          <w:rFonts w:hint="eastAsia"/>
        </w:rPr>
        <w:t>当前，</w:t>
      </w:r>
      <w:r w:rsidRPr="00BE6BC4">
        <w:t>我国学者主要从宏观和微观两个层面，研究绿色金融的实施效果。宏观角度来看，</w:t>
      </w:r>
      <w:r w:rsidRPr="00BE6BC4">
        <w:rPr>
          <w:rFonts w:hint="eastAsia"/>
        </w:rPr>
        <w:t>不少学者指出（任亚运，</w:t>
      </w:r>
      <w:r w:rsidRPr="00BE6BC4">
        <w:rPr>
          <w:rFonts w:hint="eastAsia"/>
        </w:rPr>
        <w:t>2</w:t>
      </w:r>
      <w:r w:rsidRPr="00BE6BC4">
        <w:t>023;</w:t>
      </w:r>
      <w:r w:rsidRPr="00BE6BC4">
        <w:rPr>
          <w:rFonts w:hint="eastAsia"/>
        </w:rPr>
        <w:t>张洪瑞和吴平，</w:t>
      </w:r>
      <w:r w:rsidRPr="00BE6BC4">
        <w:rPr>
          <w:rFonts w:hint="eastAsia"/>
        </w:rPr>
        <w:t>2</w:t>
      </w:r>
      <w:r w:rsidRPr="00BE6BC4">
        <w:t>023</w:t>
      </w:r>
      <w:r w:rsidRPr="00BE6BC4">
        <w:rPr>
          <w:rFonts w:hint="eastAsia"/>
        </w:rPr>
        <w:t>），绿色金融能够抑制本地</w:t>
      </w:r>
      <w:proofErr w:type="gramStart"/>
      <w:r w:rsidRPr="00BE6BC4">
        <w:rPr>
          <w:rFonts w:hint="eastAsia"/>
        </w:rPr>
        <w:t>的碳减排</w:t>
      </w:r>
      <w:proofErr w:type="gramEnd"/>
      <w:r w:rsidRPr="00BE6BC4">
        <w:rPr>
          <w:rFonts w:hint="eastAsia"/>
        </w:rPr>
        <w:t>，绿色技术创新对绿色金融</w:t>
      </w:r>
      <w:proofErr w:type="gramStart"/>
      <w:r w:rsidRPr="00BE6BC4">
        <w:rPr>
          <w:rFonts w:hint="eastAsia"/>
        </w:rPr>
        <w:t>的碳减排</w:t>
      </w:r>
      <w:proofErr w:type="gramEnd"/>
      <w:r w:rsidRPr="00BE6BC4">
        <w:rPr>
          <w:rFonts w:hint="eastAsia"/>
        </w:rPr>
        <w:t>效应具有促进作用。此外，绿色金融能够提升产业绿色化水平，推动产业结构变化。</w:t>
      </w:r>
      <w:proofErr w:type="gramStart"/>
      <w:r w:rsidRPr="00BE6BC4">
        <w:rPr>
          <w:rFonts w:hint="eastAsia"/>
        </w:rPr>
        <w:t>胡怀敏</w:t>
      </w:r>
      <w:proofErr w:type="gramEnd"/>
      <w:r w:rsidRPr="00BE6BC4">
        <w:rPr>
          <w:rFonts w:hint="eastAsia"/>
        </w:rPr>
        <w:t>和连思涵（</w:t>
      </w:r>
      <w:r w:rsidRPr="00BE6BC4">
        <w:rPr>
          <w:rFonts w:hint="eastAsia"/>
        </w:rPr>
        <w:t>2021</w:t>
      </w:r>
      <w:r w:rsidRPr="00BE6BC4">
        <w:rPr>
          <w:rFonts w:hint="eastAsia"/>
        </w:rPr>
        <w:t>）基于</w:t>
      </w:r>
      <w:r w:rsidRPr="00BE6BC4">
        <w:rPr>
          <w:rFonts w:hint="eastAsia"/>
        </w:rPr>
        <w:t>2013</w:t>
      </w:r>
      <w:r w:rsidRPr="00BE6BC4">
        <w:rPr>
          <w:rFonts w:hint="eastAsia"/>
        </w:rPr>
        <w:t>—</w:t>
      </w:r>
      <w:r w:rsidRPr="00BE6BC4">
        <w:rPr>
          <w:rFonts w:hint="eastAsia"/>
        </w:rPr>
        <w:t>2019</w:t>
      </w:r>
      <w:r w:rsidRPr="00BE6BC4">
        <w:rPr>
          <w:rFonts w:hint="eastAsia"/>
        </w:rPr>
        <w:t>年</w:t>
      </w:r>
      <w:r w:rsidRPr="00BE6BC4">
        <w:rPr>
          <w:rFonts w:hint="eastAsia"/>
        </w:rPr>
        <w:t>30</w:t>
      </w:r>
      <w:r w:rsidRPr="00BE6BC4">
        <w:rPr>
          <w:rFonts w:hint="eastAsia"/>
        </w:rPr>
        <w:t>个省级行政区的相关数据构建绿色金融和产业结构变化的指标体系，认为绿色金融发展较快省份的第三产业发展更能体现绿色金融的正向促进作用</w:t>
      </w:r>
      <w:r w:rsidRPr="00BE6BC4">
        <w:rPr>
          <w:rFonts w:hint="eastAsia"/>
        </w:rPr>
        <w:t>,</w:t>
      </w:r>
      <w:r w:rsidRPr="00BE6BC4">
        <w:rPr>
          <w:rFonts w:hint="eastAsia"/>
        </w:rPr>
        <w:t>其与产业结构变化的耦合协调程度也更高。</w:t>
      </w:r>
      <w:proofErr w:type="gramStart"/>
      <w:r w:rsidRPr="00BE6BC4">
        <w:t>陈庭强等</w:t>
      </w:r>
      <w:proofErr w:type="gramEnd"/>
      <w:r w:rsidRPr="00BE6BC4">
        <w:t>（</w:t>
      </w:r>
      <w:r w:rsidRPr="00BE6BC4">
        <w:t>2023</w:t>
      </w:r>
      <w:r w:rsidRPr="00BE6BC4">
        <w:t>）实证检验了环境规制与绿色金融能够促进产业绿色发展，且这种影响具有滞后性</w:t>
      </w:r>
      <w:r w:rsidRPr="00BE6BC4">
        <w:rPr>
          <w:rFonts w:hint="eastAsia"/>
        </w:rPr>
        <w:t>。</w:t>
      </w:r>
      <w:r w:rsidRPr="00BE6BC4">
        <w:t>微观角度来看，</w:t>
      </w:r>
      <w:r w:rsidRPr="00BE6BC4">
        <w:rPr>
          <w:rFonts w:hint="eastAsia"/>
        </w:rPr>
        <w:t>当前</w:t>
      </w:r>
      <w:r w:rsidRPr="00BE6BC4">
        <w:t>很多学者主要从企业和金融机构的角度研究绿色金融发展带来的作用。</w:t>
      </w:r>
      <w:r w:rsidRPr="00BE6BC4">
        <w:rPr>
          <w:rFonts w:hint="eastAsia"/>
        </w:rPr>
        <w:t>沈璐和廖显春（</w:t>
      </w:r>
      <w:r w:rsidRPr="00BE6BC4">
        <w:rPr>
          <w:rFonts w:hint="eastAsia"/>
        </w:rPr>
        <w:t>2020</w:t>
      </w:r>
      <w:r w:rsidRPr="00BE6BC4">
        <w:rPr>
          <w:rFonts w:hint="eastAsia"/>
        </w:rPr>
        <w:t>）认为建立绿色金融改革创新试验区</w:t>
      </w:r>
      <w:proofErr w:type="gramStart"/>
      <w:r w:rsidRPr="00BE6BC4">
        <w:rPr>
          <w:rFonts w:hint="eastAsia"/>
        </w:rPr>
        <w:t>能倒逼重</w:t>
      </w:r>
      <w:proofErr w:type="gramEnd"/>
      <w:r w:rsidRPr="00BE6BC4">
        <w:rPr>
          <w:rFonts w:hint="eastAsia"/>
        </w:rPr>
        <w:t>污染企业履行社会责任</w:t>
      </w:r>
      <w:r w:rsidRPr="00BE6BC4">
        <w:rPr>
          <w:rFonts w:hint="eastAsia"/>
        </w:rPr>
        <w:t>,</w:t>
      </w:r>
      <w:r w:rsidRPr="00BE6BC4">
        <w:rPr>
          <w:rFonts w:hint="eastAsia"/>
        </w:rPr>
        <w:t>尤其是环境社会责任。王丽萍等（</w:t>
      </w:r>
      <w:r w:rsidRPr="00BE6BC4">
        <w:rPr>
          <w:rFonts w:hint="eastAsia"/>
        </w:rPr>
        <w:t>2021</w:t>
      </w:r>
      <w:r w:rsidRPr="00BE6BC4">
        <w:rPr>
          <w:rFonts w:hint="eastAsia"/>
        </w:rPr>
        <w:t>）认为绿色金融政策能够通过资金配置、风险</w:t>
      </w:r>
      <w:proofErr w:type="gramStart"/>
      <w:r w:rsidRPr="00BE6BC4">
        <w:rPr>
          <w:rFonts w:hint="eastAsia"/>
        </w:rPr>
        <w:t>管控从内部</w:t>
      </w:r>
      <w:proofErr w:type="gramEnd"/>
      <w:r w:rsidRPr="00BE6BC4">
        <w:rPr>
          <w:rFonts w:hint="eastAsia"/>
        </w:rPr>
        <w:t>支持企业获得融资、分散风险。朱向东等（</w:t>
      </w:r>
      <w:r w:rsidRPr="00BE6BC4">
        <w:rPr>
          <w:rFonts w:hint="eastAsia"/>
        </w:rPr>
        <w:t>2021</w:t>
      </w:r>
      <w:r w:rsidRPr="00BE6BC4">
        <w:rPr>
          <w:rFonts w:hint="eastAsia"/>
        </w:rPr>
        <w:t>）认为绿色金融能够在不同区域促成污染性重工业和轻工业技术创新。</w:t>
      </w:r>
      <w:r w:rsidRPr="00BE6BC4">
        <w:t>谢朝华和陈涵达（</w:t>
      </w:r>
      <w:r w:rsidRPr="00BE6BC4">
        <w:t>2023</w:t>
      </w:r>
      <w:r w:rsidRPr="00BE6BC4">
        <w:t>）认为开展绿色信贷能显著降低商业银行风险承担，在资产质量较差、净利润较高以及规模较大的全国性商业银行中开展效果更为显著。王宏涛等（</w:t>
      </w:r>
      <w:r w:rsidRPr="00BE6BC4">
        <w:t>2023</w:t>
      </w:r>
      <w:r w:rsidRPr="00BE6BC4">
        <w:t>）认为商业银行实施绿色金融战略、积极履行社会责任，不仅在外部性上有助于经济社会实现绿色低碳转型和高质量发展，并且对银行自身企业价值提升和长期发展也是有益的。</w:t>
      </w:r>
    </w:p>
    <w:p w14:paraId="150DA5F4" w14:textId="77777777" w:rsidR="005F07D1" w:rsidRPr="00BE6BC4" w:rsidRDefault="00000000" w:rsidP="0045411C">
      <w:r w:rsidRPr="00BE6BC4">
        <w:rPr>
          <w:rFonts w:hint="eastAsia"/>
        </w:rPr>
        <w:t>从绿色金融的相关研究文献来看，当今绿色金融的发展速度越来越快，覆盖范围不断扩大，对社会的有利影响也在日益凸显，绿色金融发展已是大势所趋。</w:t>
      </w:r>
    </w:p>
    <w:p w14:paraId="47A44FF1" w14:textId="5630F299" w:rsidR="005F07D1" w:rsidRDefault="005C639C" w:rsidP="0045411C">
      <w:pPr>
        <w:pStyle w:val="2"/>
        <w:ind w:firstLine="482"/>
      </w:pPr>
      <w:r>
        <w:rPr>
          <w:rFonts w:hint="eastAsia"/>
        </w:rPr>
        <w:t>（二）能源消费结构的研究综述</w:t>
      </w:r>
    </w:p>
    <w:p w14:paraId="059BA347" w14:textId="77777777" w:rsidR="005F07D1" w:rsidRPr="00BE6BC4" w:rsidRDefault="00000000" w:rsidP="0045411C">
      <w:r w:rsidRPr="00BE6BC4">
        <w:rPr>
          <w:rFonts w:hint="eastAsia"/>
        </w:rPr>
        <w:t>近年来，</w:t>
      </w:r>
      <w:r w:rsidRPr="00BE6BC4">
        <w:t>大量学者</w:t>
      </w:r>
      <w:r w:rsidRPr="00BE6BC4">
        <w:rPr>
          <w:rFonts w:hint="eastAsia"/>
        </w:rPr>
        <w:t>关于能源消费结构优化与转型的</w:t>
      </w:r>
      <w:r w:rsidRPr="00BE6BC4">
        <w:t>研究</w:t>
      </w:r>
      <w:r w:rsidRPr="00BE6BC4">
        <w:rPr>
          <w:rFonts w:hint="eastAsia"/>
        </w:rPr>
        <w:t>都以实现“双碳”为目标，其研究分析了当前</w:t>
      </w:r>
      <w:r w:rsidRPr="00BE6BC4">
        <w:t>我国能源结构</w:t>
      </w:r>
      <w:r w:rsidRPr="00BE6BC4">
        <w:rPr>
          <w:rFonts w:hint="eastAsia"/>
        </w:rPr>
        <w:t>的</w:t>
      </w:r>
      <w:r w:rsidRPr="00BE6BC4">
        <w:t>特征</w:t>
      </w:r>
      <w:r w:rsidRPr="00BE6BC4">
        <w:rPr>
          <w:rFonts w:hint="eastAsia"/>
        </w:rPr>
        <w:t>，</w:t>
      </w:r>
      <w:r w:rsidRPr="00BE6BC4">
        <w:t>存在的问</w:t>
      </w:r>
      <w:r w:rsidRPr="00BE6BC4">
        <w:rPr>
          <w:rFonts w:hint="eastAsia"/>
        </w:rPr>
        <w:t>题以及今后的解决方向，对于我国能源消费结构的优化转型具有积极作用。杨英明等（</w:t>
      </w:r>
      <w:r w:rsidRPr="00BE6BC4">
        <w:rPr>
          <w:rFonts w:hint="eastAsia"/>
        </w:rPr>
        <w:t>2</w:t>
      </w:r>
      <w:r w:rsidRPr="00BE6BC4">
        <w:t>019</w:t>
      </w:r>
      <w:r w:rsidRPr="00BE6BC4">
        <w:rPr>
          <w:rFonts w:hint="eastAsia"/>
        </w:rPr>
        <w:t>）指出我国能源结构特点为</w:t>
      </w:r>
      <w:r w:rsidRPr="00BE6BC4">
        <w:t>以煤为主、石油对外依赖度高、能源效率低、能源技术落后、能源价格体系扭曲、资源配置效率低下等</w:t>
      </w:r>
      <w:r w:rsidRPr="00BE6BC4">
        <w:rPr>
          <w:rFonts w:hint="eastAsia"/>
        </w:rPr>
        <w:t>。邹璇（</w:t>
      </w:r>
      <w:r w:rsidRPr="00BE6BC4">
        <w:rPr>
          <w:rFonts w:hint="eastAsia"/>
        </w:rPr>
        <w:t>2</w:t>
      </w:r>
      <w:r w:rsidRPr="00BE6BC4">
        <w:t>019</w:t>
      </w:r>
      <w:r w:rsidRPr="00BE6BC4">
        <w:rPr>
          <w:rFonts w:hint="eastAsia"/>
        </w:rPr>
        <w:t>）认为</w:t>
      </w:r>
      <w:r w:rsidRPr="00BE6BC4">
        <w:t>要真正改变能源消费结</w:t>
      </w:r>
      <w:r w:rsidRPr="00BE6BC4">
        <w:rPr>
          <w:rFonts w:hint="eastAsia"/>
        </w:rPr>
        <w:t>构就要从产业结构入手。张映红（</w:t>
      </w:r>
      <w:r w:rsidRPr="00BE6BC4">
        <w:rPr>
          <w:rFonts w:hint="eastAsia"/>
        </w:rPr>
        <w:t>2</w:t>
      </w:r>
      <w:r w:rsidRPr="00BE6BC4">
        <w:t>021</w:t>
      </w:r>
      <w:r w:rsidRPr="00BE6BC4">
        <w:rPr>
          <w:rFonts w:hint="eastAsia"/>
        </w:rPr>
        <w:t>）认为清洁煤炭、可再生能源、可控核聚变发展这一路线是能源结构转型的重中之重。黄晟等（</w:t>
      </w:r>
      <w:r w:rsidRPr="00BE6BC4">
        <w:t>2022</w:t>
      </w:r>
      <w:r w:rsidRPr="00BE6BC4">
        <w:t>）认为在国际局势复杂演变的背景下，中国要统筹兼顾</w:t>
      </w:r>
      <w:r w:rsidRPr="00BE6BC4">
        <w:t>“</w:t>
      </w:r>
      <w:r w:rsidRPr="00BE6BC4">
        <w:t>双碳</w:t>
      </w:r>
      <w:r w:rsidRPr="00BE6BC4">
        <w:t>”</w:t>
      </w:r>
      <w:r w:rsidRPr="00BE6BC4">
        <w:t>目标实现、能源结构优化和能源安全三</w:t>
      </w:r>
      <w:r w:rsidRPr="00BE6BC4">
        <w:lastRenderedPageBreak/>
        <w:t>大目标</w:t>
      </w:r>
      <w:r w:rsidRPr="00BE6BC4">
        <w:rPr>
          <w:rFonts w:hint="eastAsia"/>
        </w:rPr>
        <w:t>。马理等（</w:t>
      </w:r>
      <w:r w:rsidRPr="00BE6BC4">
        <w:t>2023</w:t>
      </w:r>
      <w:r w:rsidRPr="00BE6BC4">
        <w:rPr>
          <w:rFonts w:hint="eastAsia"/>
        </w:rPr>
        <w:t>）认为发展低碳产业有助于促进能源结构优化升级，</w:t>
      </w:r>
      <w:proofErr w:type="gramStart"/>
      <w:r w:rsidRPr="00BE6BC4">
        <w:rPr>
          <w:rFonts w:hint="eastAsia"/>
        </w:rPr>
        <w:t>推动碳达峰</w:t>
      </w:r>
      <w:proofErr w:type="gramEnd"/>
      <w:r w:rsidRPr="00BE6BC4">
        <w:rPr>
          <w:rFonts w:hint="eastAsia"/>
        </w:rPr>
        <w:t>与碳中和目标的实现。</w:t>
      </w:r>
    </w:p>
    <w:p w14:paraId="3ED37C49" w14:textId="26074FD4" w:rsidR="005F07D1" w:rsidRPr="00BE6BC4" w:rsidRDefault="00000000" w:rsidP="0045411C">
      <w:r w:rsidRPr="00BE6BC4">
        <w:rPr>
          <w:rFonts w:hint="eastAsia"/>
        </w:rPr>
        <w:t>通过对能源</w:t>
      </w:r>
      <w:r w:rsidR="00CC3839">
        <w:rPr>
          <w:rFonts w:hint="eastAsia"/>
        </w:rPr>
        <w:t>消费</w:t>
      </w:r>
      <w:r w:rsidRPr="00BE6BC4">
        <w:rPr>
          <w:rFonts w:hint="eastAsia"/>
        </w:rPr>
        <w:t>结构的相关文献研究可以发现，我国能源</w:t>
      </w:r>
      <w:r w:rsidR="00CC3839">
        <w:rPr>
          <w:rFonts w:hint="eastAsia"/>
        </w:rPr>
        <w:t>消费</w:t>
      </w:r>
      <w:r w:rsidRPr="00BE6BC4">
        <w:rPr>
          <w:rFonts w:hint="eastAsia"/>
        </w:rPr>
        <w:t>结构以煤炭为主，是受地质资源、经济发展需求等共同影响的结果。但随着环保意识的增强和清洁能源的技术进步，政府加大环保力度，</w:t>
      </w:r>
      <w:r w:rsidR="00CC3839">
        <w:rPr>
          <w:rFonts w:hint="eastAsia"/>
        </w:rPr>
        <w:t>制定了多项绿色发展的政策，</w:t>
      </w:r>
      <w:r w:rsidRPr="00BE6BC4">
        <w:rPr>
          <w:rFonts w:hint="eastAsia"/>
        </w:rPr>
        <w:t>推动清洁能源的发展，以减少对化石燃料的依赖并促进绿色产业成长，实现“双碳”目标。</w:t>
      </w:r>
    </w:p>
    <w:p w14:paraId="5253DDC7" w14:textId="77777777" w:rsidR="005F07D1" w:rsidRDefault="00000000" w:rsidP="0045411C">
      <w:pPr>
        <w:pStyle w:val="2"/>
        <w:ind w:firstLine="482"/>
      </w:pPr>
      <w:r>
        <w:rPr>
          <w:rFonts w:hint="eastAsia"/>
        </w:rPr>
        <w:t>（三）绿色金融对能源消费结构的影响的研究综述</w:t>
      </w:r>
    </w:p>
    <w:p w14:paraId="766FEC4A" w14:textId="77777777" w:rsidR="005F07D1" w:rsidRPr="00BE6BC4" w:rsidRDefault="00000000" w:rsidP="0045411C">
      <w:r w:rsidRPr="00BE6BC4">
        <w:rPr>
          <w:rFonts w:hint="eastAsia"/>
        </w:rPr>
        <w:t>在能源消费结构转型的过程中，绿色金融发挥了重要的作用。绿色金融通过提供资金支持和金融服务，能够促进清洁能源的发展和应用，推动能源消费结构向更加环保、可持续的方向转型升级，推动实现“双碳”目标。范秋芳和刘孜（</w:t>
      </w:r>
      <w:r w:rsidRPr="00BE6BC4">
        <w:rPr>
          <w:rFonts w:hint="eastAsia"/>
        </w:rPr>
        <w:t>2021</w:t>
      </w:r>
      <w:r w:rsidRPr="00BE6BC4">
        <w:rPr>
          <w:rFonts w:hint="eastAsia"/>
        </w:rPr>
        <w:t>）认为绿色金融与清洁能源产业之间存在正向的相互作用</w:t>
      </w:r>
      <w:r w:rsidRPr="00BE6BC4">
        <w:rPr>
          <w:rFonts w:hint="eastAsia"/>
        </w:rPr>
        <w:t>,</w:t>
      </w:r>
      <w:r w:rsidRPr="00BE6BC4">
        <w:rPr>
          <w:rFonts w:hint="eastAsia"/>
        </w:rPr>
        <w:t>但是存在滞后过程且具有较大提升空间。郑忱阳（</w:t>
      </w:r>
      <w:r w:rsidRPr="00BE6BC4">
        <w:rPr>
          <w:rFonts w:hint="eastAsia"/>
        </w:rPr>
        <w:t>2022</w:t>
      </w:r>
      <w:r w:rsidRPr="00BE6BC4">
        <w:rPr>
          <w:rFonts w:hint="eastAsia"/>
        </w:rPr>
        <w:t>）认为中国银行业要在本国国情的基础上对支持能源转型提出更加有针对性的方案，设定能源</w:t>
      </w:r>
      <w:proofErr w:type="gramStart"/>
      <w:r w:rsidRPr="00BE6BC4">
        <w:rPr>
          <w:rFonts w:hint="eastAsia"/>
        </w:rPr>
        <w:t>领域碳减排</w:t>
      </w:r>
      <w:proofErr w:type="gramEnd"/>
      <w:r w:rsidRPr="00BE6BC4">
        <w:rPr>
          <w:rFonts w:hint="eastAsia"/>
        </w:rPr>
        <w:t>目标、稳妥有序调整投融资结构、构建多元化绿色金融产品服务链、完善能源转型风险防控体系、加强能源领域的国际合作，进一步提升金融服务能力。</w:t>
      </w:r>
      <w:proofErr w:type="gramStart"/>
      <w:r w:rsidRPr="00BE6BC4">
        <w:rPr>
          <w:rFonts w:hint="eastAsia"/>
        </w:rPr>
        <w:t>张博坤和</w:t>
      </w:r>
      <w:proofErr w:type="gramEnd"/>
      <w:r w:rsidRPr="00BE6BC4">
        <w:rPr>
          <w:rFonts w:hint="eastAsia"/>
        </w:rPr>
        <w:t>彭丹宇（</w:t>
      </w:r>
      <w:r w:rsidRPr="00BE6BC4">
        <w:rPr>
          <w:rFonts w:hint="eastAsia"/>
        </w:rPr>
        <w:t>2</w:t>
      </w:r>
      <w:r w:rsidRPr="00BE6BC4">
        <w:t>023</w:t>
      </w:r>
      <w:r w:rsidRPr="00BE6BC4">
        <w:rPr>
          <w:rFonts w:hint="eastAsia"/>
        </w:rPr>
        <w:t>）认为绿色金融通过助推能源结构调整优化、产业结构转型升级、创新发展、绿色发展等，对“双碳”目标的实现具有重要作用。庞加兰等（</w:t>
      </w:r>
      <w:r w:rsidRPr="00BE6BC4">
        <w:rPr>
          <w:rFonts w:hint="eastAsia"/>
        </w:rPr>
        <w:t>2</w:t>
      </w:r>
      <w:r w:rsidRPr="00BE6BC4">
        <w:t>023</w:t>
      </w:r>
      <w:r w:rsidRPr="00BE6BC4">
        <w:rPr>
          <w:rFonts w:hint="eastAsia"/>
        </w:rPr>
        <w:t>）认为绿色金融发展通过融资规模的中介效应和技术进步的调节效应对能源结构优化产生正向影响。吉红云和李喜洋（</w:t>
      </w:r>
      <w:r w:rsidRPr="00BE6BC4">
        <w:rPr>
          <w:rFonts w:hint="eastAsia"/>
        </w:rPr>
        <w:t>2023</w:t>
      </w:r>
      <w:r w:rsidRPr="00BE6BC4">
        <w:rPr>
          <w:rFonts w:hint="eastAsia"/>
        </w:rPr>
        <w:t>）认为转型金融可以通过推动能源供给低碳化与能源消费低碳化这两个作用路径，有效地推动我国能源结构优化。</w:t>
      </w:r>
    </w:p>
    <w:p w14:paraId="3EC8BA49" w14:textId="34D4E899" w:rsidR="005F07D1" w:rsidRPr="00BE6BC4" w:rsidRDefault="00000000" w:rsidP="0045411C">
      <w:r w:rsidRPr="00BE6BC4">
        <w:rPr>
          <w:rFonts w:hint="eastAsia"/>
        </w:rPr>
        <w:t>结合现有文献资料可得，当前我国关于绿色金融对能源消费结构影响的研究较少，以区域经济带为视角研究的学者更是较少。且大多数文献并没有深入研究绿色金融影响能源消费结构的作用机制</w:t>
      </w:r>
      <w:r w:rsidR="00CC3839">
        <w:rPr>
          <w:rFonts w:hint="eastAsia"/>
        </w:rPr>
        <w:t>，以及二者的空间效应</w:t>
      </w:r>
      <w:r w:rsidRPr="00BE6BC4">
        <w:rPr>
          <w:rFonts w:hint="eastAsia"/>
        </w:rPr>
        <w:t>。因此，关于二者关系仍需进一步展开研究。</w:t>
      </w:r>
    </w:p>
    <w:p w14:paraId="50B3AC2F" w14:textId="17E1724D" w:rsidR="00C15E83" w:rsidRPr="00BE6BC4" w:rsidRDefault="00000000" w:rsidP="00C15E83">
      <w:pPr>
        <w:rPr>
          <w:rFonts w:hint="eastAsia"/>
        </w:rPr>
      </w:pPr>
      <w:r w:rsidRPr="00BE6BC4">
        <w:rPr>
          <w:rFonts w:hint="eastAsia"/>
        </w:rPr>
        <w:t>本文将技术创新嵌入绿色金融对能源消费结构的影响机制研究，其作为中介变量，建构中介效应模型</w:t>
      </w:r>
      <w:r w:rsidR="00CC3839">
        <w:rPr>
          <w:rFonts w:hint="eastAsia"/>
        </w:rPr>
        <w:t>。此外，本文研究分析了长江经济带各省市地区能源消费结构的空间自相关性。</w:t>
      </w:r>
      <w:r w:rsidRPr="00BE6BC4">
        <w:rPr>
          <w:rFonts w:hint="eastAsia"/>
        </w:rPr>
        <w:t>通过进一步研究，我们可以更全面地理解绿色金融在推动能源消费结构优化与转型中的路径机制，并为如何更好地发挥绿色金融推动能源消费结构转型的作用提供参考建议。</w:t>
      </w:r>
    </w:p>
    <w:p w14:paraId="3BB89D57" w14:textId="54423513" w:rsidR="005F07D1" w:rsidRDefault="005C639C" w:rsidP="005C639C">
      <w:pPr>
        <w:pStyle w:val="1"/>
      </w:pPr>
      <w:r>
        <w:rPr>
          <w:rFonts w:hint="eastAsia"/>
        </w:rPr>
        <w:t>三、理论分析与研究假说</w:t>
      </w:r>
    </w:p>
    <w:p w14:paraId="129AA24B" w14:textId="5150D775" w:rsidR="00C15E83" w:rsidRDefault="00000000" w:rsidP="00C15E83">
      <w:pPr>
        <w:rPr>
          <w:rFonts w:hint="eastAsia"/>
        </w:rPr>
      </w:pPr>
      <w:r w:rsidRPr="00BE6BC4">
        <w:rPr>
          <w:rFonts w:hint="eastAsia"/>
        </w:rPr>
        <w:t>本文从直接和间接两个角度提出相关研究假说，总结绿色金融对能源消费结构的影响机制</w:t>
      </w:r>
      <w:r w:rsidRPr="00BE6BC4">
        <w:t>，并对其进行理论</w:t>
      </w:r>
      <w:r w:rsidRPr="00BE6BC4">
        <w:rPr>
          <w:rFonts w:hint="eastAsia"/>
        </w:rPr>
        <w:t>分析</w:t>
      </w:r>
      <w:r w:rsidR="00CC3839">
        <w:rPr>
          <w:rFonts w:hint="eastAsia"/>
        </w:rPr>
        <w:t>，分析如下：</w:t>
      </w:r>
    </w:p>
    <w:p w14:paraId="078B1246" w14:textId="77777777" w:rsidR="005F07D1" w:rsidRDefault="00000000" w:rsidP="0045411C">
      <w:pPr>
        <w:pStyle w:val="2"/>
        <w:ind w:firstLine="482"/>
      </w:pPr>
      <w:r>
        <w:rPr>
          <w:rFonts w:hint="eastAsia"/>
        </w:rPr>
        <w:lastRenderedPageBreak/>
        <w:t>（一）绿色金融对能源消费结构的优化效应</w:t>
      </w:r>
    </w:p>
    <w:p w14:paraId="27E56A7C" w14:textId="47DFC2CC" w:rsidR="00B63B3A" w:rsidRDefault="00000000" w:rsidP="00C15E83">
      <w:pPr>
        <w:pStyle w:val="3"/>
        <w:numPr>
          <w:ilvl w:val="0"/>
          <w:numId w:val="14"/>
        </w:numPr>
      </w:pPr>
      <w:r w:rsidRPr="00BE6BC4">
        <w:rPr>
          <w:rFonts w:hint="eastAsia"/>
        </w:rPr>
        <w:t>绿色信贷为能源消费结构优化与转型提供定制</w:t>
      </w:r>
      <w:proofErr w:type="gramStart"/>
      <w:r w:rsidRPr="00BE6BC4">
        <w:rPr>
          <w:rFonts w:hint="eastAsia"/>
        </w:rPr>
        <w:t>化贷款</w:t>
      </w:r>
      <w:proofErr w:type="gramEnd"/>
      <w:r w:rsidRPr="00BE6BC4">
        <w:rPr>
          <w:rFonts w:hint="eastAsia"/>
        </w:rPr>
        <w:t>支持</w:t>
      </w:r>
    </w:p>
    <w:p w14:paraId="7D48B2CF" w14:textId="46D65771" w:rsidR="005F07D1" w:rsidRPr="00BE6BC4" w:rsidRDefault="00000000" w:rsidP="0045411C">
      <w:r w:rsidRPr="00BE6BC4">
        <w:rPr>
          <w:rFonts w:hint="eastAsia"/>
        </w:rPr>
        <w:t>绿色信贷一方面能够向绿色产业提供较为优惠的利率和贷款条件，降低其融资成本，鼓励和支持企业将资金投向节能环保、清洁能源等绿色领域，引导社会资本流向，推动绿色产业发展壮大，促进能源消费结构的转型升级；另一方面绿色信贷能够限制高污染项目融资，提高污染企业的债务融资成本，推动企业绿色技术创新和绿色转型升级，促进清洁能源的发展，从而优化能源消费结构。此外，当前可再生能源是能源结构绿色低碳转型的关键驱动力，绿色信贷能够通过促进产业结构升级和激励绿色技术创新显著促进可再生能源发展，推动能源消费结构的优化与转型。</w:t>
      </w:r>
    </w:p>
    <w:p w14:paraId="66FFB544" w14:textId="50756BEC" w:rsidR="00B63B3A" w:rsidRDefault="00000000" w:rsidP="00C15E83">
      <w:pPr>
        <w:pStyle w:val="3"/>
        <w:numPr>
          <w:ilvl w:val="0"/>
          <w:numId w:val="14"/>
        </w:numPr>
      </w:pPr>
      <w:r w:rsidRPr="00BE6BC4">
        <w:rPr>
          <w:rFonts w:hint="eastAsia"/>
        </w:rPr>
        <w:t>绿色证券为能源消费结构优化与转型提供专属融资工具</w:t>
      </w:r>
    </w:p>
    <w:p w14:paraId="6900B5EB" w14:textId="2732E81F" w:rsidR="005F07D1" w:rsidRPr="00BE6BC4" w:rsidRDefault="00000000" w:rsidP="0045411C">
      <w:r w:rsidRPr="00BE6BC4">
        <w:rPr>
          <w:rFonts w:hint="eastAsia"/>
        </w:rPr>
        <w:t>本文主要研究对象为绿色证券市场中的绿色股票市场及债券市场。绿色股票市场是进行绿色股权投融资的交易场所，该场所为清洁能源和新能源企业提供了一个重要的投融资平台，通过上市发行绿色股票，新能源和清洁能源等相关企业可以吸收资金，获得资金支持。同时，绿色股票的上市和交易活动可以引导资本市场的资金流向绿色能源领域，推动绿色能源领域的发展和壮大。绿色债券市场是绿色债券发行与流通的场所，为绿色产业的债权融资提供了交易空间。相比于传统债券，绿色债券通常具有更低的利率和更长的期限，这有助于降低清洁能源和新能源企业的融资成本。同时，绿色债券的发行和流通可以引导越来越多的投资者关注清洁能源和可再生能源，从而推动这些领域的发展和壮大，助力能源消费的转型。</w:t>
      </w:r>
    </w:p>
    <w:p w14:paraId="1395A050" w14:textId="226F0E03" w:rsidR="00B63B3A" w:rsidRDefault="00000000" w:rsidP="00C15E83">
      <w:pPr>
        <w:pStyle w:val="3"/>
        <w:numPr>
          <w:ilvl w:val="0"/>
          <w:numId w:val="14"/>
        </w:numPr>
      </w:pPr>
      <w:r w:rsidRPr="00BE6BC4">
        <w:rPr>
          <w:rFonts w:hint="eastAsia"/>
        </w:rPr>
        <w:t>绿色投资为能源消费结构优化与转型提供特定的投资渠道</w:t>
      </w:r>
    </w:p>
    <w:p w14:paraId="5B4FE8FD" w14:textId="7AD9E0E5" w:rsidR="005F07D1" w:rsidRPr="00BE6BC4" w:rsidRDefault="00000000" w:rsidP="0045411C">
      <w:r w:rsidRPr="00BE6BC4">
        <w:rPr>
          <w:rFonts w:hint="eastAsia"/>
        </w:rPr>
        <w:t>绿色投资通过市场机制引导资本流向了绿色产业，这对于能源消费结构的转型和升级至关重要，因为传统能源的投资往往会巩固现有的能源消费结构，而绿色投资则能够推动能源消费结构向更加环保、高效的方向转变。另一方面，绿色投资能够为企业的技术创新提供资金支持，缓解融资约束，支持其研发活动和技术升级。新技术、新产品的出现利于推动传统产业优化升级，推动绿色产业的发展，并促进能源消费结构的优化与转型。</w:t>
      </w:r>
    </w:p>
    <w:p w14:paraId="56FBF6F9" w14:textId="64BD3B6D" w:rsidR="00B63B3A" w:rsidRDefault="00000000" w:rsidP="00C15E83">
      <w:pPr>
        <w:pStyle w:val="3"/>
        <w:numPr>
          <w:ilvl w:val="0"/>
          <w:numId w:val="14"/>
        </w:numPr>
      </w:pPr>
      <w:r w:rsidRPr="00BE6BC4">
        <w:rPr>
          <w:rFonts w:hint="eastAsia"/>
        </w:rPr>
        <w:t>绿色保险为能源消费结构优化与转型提供风险保障</w:t>
      </w:r>
    </w:p>
    <w:p w14:paraId="23AA0BFA" w14:textId="6E33DEEC" w:rsidR="005F07D1" w:rsidRPr="00BE6BC4" w:rsidRDefault="00000000" w:rsidP="0045411C">
      <w:r w:rsidRPr="00BE6BC4">
        <w:rPr>
          <w:rFonts w:hint="eastAsia"/>
        </w:rPr>
        <w:t>2022</w:t>
      </w:r>
      <w:r w:rsidRPr="00BE6BC4">
        <w:rPr>
          <w:rFonts w:hint="eastAsia"/>
        </w:rPr>
        <w:t>年《绿色保险业务统计制度的通知》发布，明确定义“绿色保险”是指保险业在环境资源保护与社会治理、绿色产业运行和绿色生活消费等方面提供风险保障和资金支持等经济行为的统称。绿色保险通过为清洁能源和绿色能源项目提供风险保障，降低企业的风险，鼓励企业加大对清洁能源的投资和研发，推动清洁能源产业快速发展，加速能源消费结构向低碳化、清洁化方向优化升级。此</w:t>
      </w:r>
      <w:r w:rsidRPr="00BE6BC4">
        <w:rPr>
          <w:rFonts w:hint="eastAsia"/>
        </w:rPr>
        <w:lastRenderedPageBreak/>
        <w:t>外，绿色保险能够通过参与保险资金的绿色投资，为绿色产业发展提供资金支持。因此，绿色保险在促进能源消费结构优化与转型方面发挥了重要的风险保障与资金支持作用。</w:t>
      </w:r>
    </w:p>
    <w:p w14:paraId="4D9A3609" w14:textId="77777777" w:rsidR="005F07D1" w:rsidRPr="00BE6BC4" w:rsidRDefault="00000000" w:rsidP="0045411C">
      <w:r w:rsidRPr="00BE6BC4">
        <w:rPr>
          <w:rFonts w:hint="eastAsia"/>
        </w:rPr>
        <w:t>据此</w:t>
      </w:r>
      <w:r w:rsidRPr="00BE6BC4">
        <w:t>，本文提出假说</w:t>
      </w:r>
      <w:r w:rsidRPr="00BE6BC4">
        <w:t>H</w:t>
      </w:r>
      <w:r w:rsidRPr="00BE6BC4">
        <w:rPr>
          <w:rFonts w:hint="eastAsia"/>
        </w:rPr>
        <w:t>1</w:t>
      </w:r>
      <w:r w:rsidRPr="00BE6BC4">
        <w:t>。</w:t>
      </w:r>
    </w:p>
    <w:p w14:paraId="3017C44C" w14:textId="77777777" w:rsidR="005F07D1" w:rsidRPr="00BE6BC4" w:rsidRDefault="00000000" w:rsidP="0045411C">
      <w:r w:rsidRPr="00BE6BC4">
        <w:rPr>
          <w:rFonts w:hint="eastAsia"/>
        </w:rPr>
        <w:t>H1</w:t>
      </w:r>
      <w:r w:rsidRPr="00BE6BC4">
        <w:t>:</w:t>
      </w:r>
      <w:r w:rsidRPr="00BE6BC4">
        <w:t>绿色金融对能源</w:t>
      </w:r>
      <w:r w:rsidRPr="00BE6BC4">
        <w:rPr>
          <w:rFonts w:hint="eastAsia"/>
        </w:rPr>
        <w:t>消费</w:t>
      </w:r>
      <w:r w:rsidRPr="00BE6BC4">
        <w:t>结构</w:t>
      </w:r>
      <w:r w:rsidRPr="00BE6BC4">
        <w:rPr>
          <w:rFonts w:hint="eastAsia"/>
        </w:rPr>
        <w:t>的优化与转型具有积极的促进</w:t>
      </w:r>
      <w:r w:rsidRPr="00BE6BC4">
        <w:t>作用。</w:t>
      </w:r>
    </w:p>
    <w:p w14:paraId="1AD266F6" w14:textId="77777777" w:rsidR="005F07D1" w:rsidRPr="00BE6BC4" w:rsidRDefault="00000000" w:rsidP="0045411C">
      <w:r w:rsidRPr="00BE6BC4">
        <w:t>空间溢出效应是指某一地区的某种经济活动或政策不仅对当地产生影响，还会对其他</w:t>
      </w:r>
      <w:r w:rsidRPr="00BE6BC4">
        <w:rPr>
          <w:rFonts w:hint="eastAsia"/>
        </w:rPr>
        <w:t>邻近</w:t>
      </w:r>
      <w:r w:rsidRPr="00BE6BC4">
        <w:t>地区产生影响</w:t>
      </w:r>
      <w:r w:rsidRPr="00BE6BC4">
        <w:rPr>
          <w:rFonts w:hint="eastAsia"/>
        </w:rPr>
        <w:t>。</w:t>
      </w:r>
      <w:r w:rsidRPr="00BE6BC4">
        <w:t>长江经济带作为我国经济发展的重要区域，其</w:t>
      </w:r>
      <w:r w:rsidRPr="00BE6BC4">
        <w:rPr>
          <w:rFonts w:hint="eastAsia"/>
        </w:rPr>
        <w:t>绿色金融的发展水平</w:t>
      </w:r>
      <w:r w:rsidRPr="00BE6BC4">
        <w:t>和</w:t>
      </w:r>
      <w:r w:rsidRPr="00BE6BC4">
        <w:rPr>
          <w:rFonts w:hint="eastAsia"/>
        </w:rPr>
        <w:t>能源结构</w:t>
      </w:r>
      <w:r w:rsidRPr="00BE6BC4">
        <w:t>都受到了广泛关注。在这个区域内，不同省份的</w:t>
      </w:r>
      <w:r w:rsidRPr="00BE6BC4">
        <w:rPr>
          <w:rFonts w:hint="eastAsia"/>
        </w:rPr>
        <w:t>绿色金融发展水平和</w:t>
      </w:r>
      <w:r w:rsidRPr="00BE6BC4">
        <w:t>能源结构并非孤立存在，而是存在一定的空间关联性。当一个省份</w:t>
      </w:r>
      <w:r w:rsidRPr="00BE6BC4">
        <w:rPr>
          <w:rFonts w:hint="eastAsia"/>
        </w:rPr>
        <w:t>的</w:t>
      </w:r>
      <w:r w:rsidRPr="00BE6BC4">
        <w:t>绿色金融</w:t>
      </w:r>
      <w:r w:rsidRPr="00BE6BC4">
        <w:rPr>
          <w:rFonts w:hint="eastAsia"/>
        </w:rPr>
        <w:t>发展水平提高时</w:t>
      </w:r>
      <w:r w:rsidRPr="00BE6BC4">
        <w:t>，这种影响很可能溢出到邻近省份，触发更广泛的变革。</w:t>
      </w:r>
      <w:r w:rsidRPr="00BE6BC4">
        <w:rPr>
          <w:rFonts w:hint="eastAsia"/>
        </w:rPr>
        <w:t>然而，</w:t>
      </w:r>
      <w:r w:rsidRPr="00BE6BC4">
        <w:t>这种空间溢出效应既有可能是正面的，也</w:t>
      </w:r>
      <w:r w:rsidRPr="00BE6BC4">
        <w:rPr>
          <w:rFonts w:hint="eastAsia"/>
        </w:rPr>
        <w:t>有</w:t>
      </w:r>
      <w:r w:rsidRPr="00BE6BC4">
        <w:t>可能</w:t>
      </w:r>
      <w:r w:rsidRPr="00BE6BC4">
        <w:rPr>
          <w:rFonts w:hint="eastAsia"/>
        </w:rPr>
        <w:t>是</w:t>
      </w:r>
      <w:r w:rsidRPr="00BE6BC4">
        <w:t>负面</w:t>
      </w:r>
      <w:r w:rsidRPr="00BE6BC4">
        <w:rPr>
          <w:rFonts w:hint="eastAsia"/>
        </w:rPr>
        <w:t>的。</w:t>
      </w:r>
      <w:r w:rsidRPr="00BE6BC4">
        <w:t>本文拟从</w:t>
      </w:r>
      <w:r w:rsidRPr="00BE6BC4">
        <w:rPr>
          <w:rFonts w:hint="eastAsia"/>
        </w:rPr>
        <w:t>释放</w:t>
      </w:r>
      <w:r w:rsidRPr="00BE6BC4">
        <w:t>效应和虹吸效应</w:t>
      </w:r>
      <w:r w:rsidRPr="00BE6BC4">
        <w:rPr>
          <w:rFonts w:hint="eastAsia"/>
        </w:rPr>
        <w:t>正反</w:t>
      </w:r>
      <w:r w:rsidRPr="00BE6BC4">
        <w:t>两个方面，讨论</w:t>
      </w:r>
      <w:r w:rsidRPr="00BE6BC4">
        <w:rPr>
          <w:rFonts w:hint="eastAsia"/>
        </w:rPr>
        <w:t>绿色</w:t>
      </w:r>
      <w:r w:rsidRPr="00BE6BC4">
        <w:t>金融影响区域</w:t>
      </w:r>
      <w:r w:rsidRPr="00BE6BC4">
        <w:rPr>
          <w:rFonts w:hint="eastAsia"/>
        </w:rPr>
        <w:t>能源结构优化与转型的</w:t>
      </w:r>
      <w:r w:rsidRPr="00BE6BC4">
        <w:t>空间效应。</w:t>
      </w:r>
    </w:p>
    <w:p w14:paraId="14C4AC8F" w14:textId="77777777" w:rsidR="005F07D1" w:rsidRPr="00BE6BC4" w:rsidRDefault="00000000" w:rsidP="0045411C">
      <w:r w:rsidRPr="00BE6BC4">
        <w:rPr>
          <w:rFonts w:hint="eastAsia"/>
        </w:rPr>
        <w:t>释放</w:t>
      </w:r>
      <w:r w:rsidRPr="00BE6BC4">
        <w:t>效应是指</w:t>
      </w:r>
      <w:r w:rsidRPr="00BE6BC4">
        <w:rPr>
          <w:rFonts w:hint="eastAsia"/>
        </w:rPr>
        <w:t>绿色</w:t>
      </w:r>
      <w:r w:rsidRPr="00BE6BC4">
        <w:t>金融</w:t>
      </w:r>
      <w:r w:rsidRPr="00BE6BC4">
        <w:rPr>
          <w:rFonts w:hint="eastAsia"/>
        </w:rPr>
        <w:t>能够在一定程度上突破地域的限制</w:t>
      </w:r>
      <w:r w:rsidRPr="00BE6BC4">
        <w:t>，有效推动周边地区的</w:t>
      </w:r>
      <w:r w:rsidRPr="00BE6BC4">
        <w:rPr>
          <w:rFonts w:hint="eastAsia"/>
        </w:rPr>
        <w:t>能源结构优化与转型</w:t>
      </w:r>
      <w:r w:rsidRPr="00BE6BC4">
        <w:t>。首先，在</w:t>
      </w:r>
      <w:r w:rsidRPr="00BE6BC4">
        <w:t>“</w:t>
      </w:r>
      <w:r w:rsidRPr="00BE6BC4">
        <w:t>双碳</w:t>
      </w:r>
      <w:r w:rsidRPr="00BE6BC4">
        <w:t>”</w:t>
      </w:r>
      <w:r w:rsidRPr="00BE6BC4">
        <w:t>目标下，受某一省份绿色金融政策影响，邻近省份可能会在竞争效应下效仿，借鉴其成功的政策，大力推进本省的绿色金融政策。同时，这也带动着省份之间开展合作，共同推动绿色金融的向上发展，从而发挥绿色金融对能源结构优化与转型的作用。其次，本地企业在绿色金融支持下进行的绿色技术创新和能源消费转型具有一定的正外部性，其相关技术能够突破地域的限制，向邻省扩散，促进其他地区绿色技术创新水平提升，</w:t>
      </w:r>
      <w:r w:rsidRPr="00BE6BC4">
        <w:rPr>
          <w:rFonts w:hint="eastAsia"/>
        </w:rPr>
        <w:t>从而为</w:t>
      </w:r>
      <w:r w:rsidRPr="00BE6BC4">
        <w:t>邻省能源结构的转型</w:t>
      </w:r>
      <w:r w:rsidRPr="00BE6BC4">
        <w:rPr>
          <w:rFonts w:hint="eastAsia"/>
        </w:rPr>
        <w:t>提供技术支持</w:t>
      </w:r>
      <w:r w:rsidRPr="00BE6BC4">
        <w:t>。</w:t>
      </w:r>
      <w:r w:rsidRPr="00BE6BC4">
        <w:rPr>
          <w:rFonts w:hint="eastAsia"/>
        </w:rPr>
        <w:t>最后</w:t>
      </w:r>
      <w:r w:rsidRPr="00BE6BC4">
        <w:t>，某一省份的绿色金融政策可能催生一批跨区域的绿色项目，这些项目往往需要临近省份的合作与支持。因此，某一省份的政策可能成为催化剂，推动临近省份共同参与绿色项目，</w:t>
      </w:r>
      <w:r w:rsidRPr="00BE6BC4">
        <w:rPr>
          <w:rFonts w:hint="eastAsia"/>
        </w:rPr>
        <w:t>促进其</w:t>
      </w:r>
      <w:r w:rsidRPr="00BE6BC4">
        <w:t>能源结构的转型升级。</w:t>
      </w:r>
    </w:p>
    <w:p w14:paraId="581C9E79" w14:textId="77777777" w:rsidR="005F07D1" w:rsidRPr="00BE6BC4" w:rsidRDefault="00000000" w:rsidP="0045411C">
      <w:r w:rsidRPr="00BE6BC4">
        <w:t>虹吸效应在绿色金融领域表现为，随着某地绿色金融发展水平的提升，逐利性会驱动邻近地区的资源向该地区聚集</w:t>
      </w:r>
      <w:r w:rsidRPr="00BE6BC4">
        <w:rPr>
          <w:rFonts w:hint="eastAsia"/>
        </w:rPr>
        <w:t>，这使得</w:t>
      </w:r>
      <w:r w:rsidRPr="00BE6BC4">
        <w:t>邻近地区的资源逐渐流失，抑制其绿色金融的发展，并对其能源结构转型构成障碍。以长江经济带为例，绿色金融资源往往集结在某些</w:t>
      </w:r>
      <w:r w:rsidRPr="00BE6BC4">
        <w:rPr>
          <w:rFonts w:hint="eastAsia"/>
        </w:rPr>
        <w:t>大城市</w:t>
      </w:r>
      <w:r w:rsidRPr="00BE6BC4">
        <w:t>，</w:t>
      </w:r>
      <w:r w:rsidRPr="00BE6BC4">
        <w:rPr>
          <w:rFonts w:hint="eastAsia"/>
        </w:rPr>
        <w:t>而</w:t>
      </w:r>
      <w:r w:rsidRPr="00BE6BC4">
        <w:t>其他邻近</w:t>
      </w:r>
      <w:r w:rsidRPr="00BE6BC4">
        <w:rPr>
          <w:rFonts w:hint="eastAsia"/>
        </w:rPr>
        <w:t>小城市</w:t>
      </w:r>
      <w:r w:rsidRPr="00BE6BC4">
        <w:t>的能源</w:t>
      </w:r>
      <w:r w:rsidRPr="00BE6BC4">
        <w:rPr>
          <w:rFonts w:hint="eastAsia"/>
        </w:rPr>
        <w:t>结构优化与转型往往</w:t>
      </w:r>
      <w:r w:rsidRPr="00BE6BC4">
        <w:t>面临资源不足的困境。这种情况进一步加剧了区域间能源结构发展的不平衡。此外，</w:t>
      </w:r>
      <w:r w:rsidRPr="00BE6BC4">
        <w:rPr>
          <w:rFonts w:hint="eastAsia"/>
        </w:rPr>
        <w:t>这</w:t>
      </w:r>
      <w:r w:rsidRPr="00BE6BC4">
        <w:t>还可能为先进地区向欠发达地区的产业梯次承接带来污染产业转移的机会。这一机会虽然在一定程度上推动了欠发达地区的经济发展，但也可能阻碍其能源结构的转型。</w:t>
      </w:r>
    </w:p>
    <w:p w14:paraId="5CF86E75" w14:textId="77777777" w:rsidR="005F07D1" w:rsidRPr="00BE6BC4" w:rsidRDefault="00000000" w:rsidP="0045411C">
      <w:r w:rsidRPr="00BE6BC4">
        <w:t>据此，本文提出假说</w:t>
      </w:r>
      <w:r w:rsidRPr="00BE6BC4">
        <w:t>H</w:t>
      </w:r>
      <w:r w:rsidRPr="00BE6BC4">
        <w:rPr>
          <w:rFonts w:hint="eastAsia"/>
        </w:rPr>
        <w:t>2</w:t>
      </w:r>
      <w:r w:rsidRPr="00BE6BC4">
        <w:t>。</w:t>
      </w:r>
    </w:p>
    <w:p w14:paraId="41B26AED" w14:textId="77777777" w:rsidR="005F07D1" w:rsidRPr="00BE6BC4" w:rsidRDefault="00000000" w:rsidP="0045411C">
      <w:r w:rsidRPr="00BE6BC4">
        <w:t>H</w:t>
      </w:r>
      <w:r w:rsidRPr="00BE6BC4">
        <w:rPr>
          <w:rFonts w:hint="eastAsia"/>
        </w:rPr>
        <w:t>2a</w:t>
      </w:r>
      <w:r w:rsidRPr="00BE6BC4">
        <w:rPr>
          <w:rFonts w:hint="eastAsia"/>
        </w:rPr>
        <w:t>：绿色金融对能源结构优化与转型的影响存在空间溢出效应，本地</w:t>
      </w:r>
      <w:r w:rsidRPr="00BE6BC4">
        <w:t>绿色</w:t>
      </w:r>
      <w:r w:rsidRPr="00BE6BC4">
        <w:lastRenderedPageBreak/>
        <w:t>金融</w:t>
      </w:r>
      <w:r w:rsidRPr="00BE6BC4">
        <w:rPr>
          <w:rFonts w:hint="eastAsia"/>
        </w:rPr>
        <w:t>的发展能够促进邻近地区</w:t>
      </w:r>
      <w:r w:rsidRPr="00BE6BC4">
        <w:t>能源结构的优化与转型</w:t>
      </w:r>
      <w:r w:rsidRPr="00BE6BC4">
        <w:rPr>
          <w:rFonts w:hint="eastAsia"/>
        </w:rPr>
        <w:t>。</w:t>
      </w:r>
    </w:p>
    <w:p w14:paraId="74BCD991" w14:textId="77777777" w:rsidR="005F07D1" w:rsidRPr="00BE6BC4" w:rsidRDefault="00000000" w:rsidP="0045411C">
      <w:r w:rsidRPr="00BE6BC4">
        <w:rPr>
          <w:rFonts w:hint="eastAsia"/>
        </w:rPr>
        <w:t>H</w:t>
      </w:r>
      <w:r w:rsidRPr="00BE6BC4">
        <w:t>2b</w:t>
      </w:r>
      <w:r w:rsidRPr="00BE6BC4">
        <w:t>：绿色金融对能源结构优化与转型的影响存在空间溢出效应，本地绿色金融的发展能够</w:t>
      </w:r>
      <w:r w:rsidRPr="00BE6BC4">
        <w:rPr>
          <w:rFonts w:hint="eastAsia"/>
        </w:rPr>
        <w:t>阻碍</w:t>
      </w:r>
      <w:r w:rsidRPr="00BE6BC4">
        <w:t>邻近地区能源结构的优化与转型。</w:t>
      </w:r>
    </w:p>
    <w:p w14:paraId="0BF376DB" w14:textId="77777777" w:rsidR="005F07D1" w:rsidRPr="00BE6BC4" w:rsidRDefault="00000000" w:rsidP="0045411C">
      <w:r w:rsidRPr="00BE6BC4">
        <w:t>绿色金融通过提供资金支持和优惠政策条件，能够鼓励和引导资金流向绿色技术开发项目，推动企业在清洁能源和新能源领域进行技术研发、革新与应用，从而进一步提高能源的利用效率，为能源</w:t>
      </w:r>
      <w:r w:rsidRPr="00BE6BC4">
        <w:rPr>
          <w:rFonts w:hint="eastAsia"/>
        </w:rPr>
        <w:t>消费</w:t>
      </w:r>
      <w:r w:rsidRPr="00BE6BC4">
        <w:t>结构的优化与转型提供技术基础。在这一过程中，技术创新起到了中介的作用。它将绿色金融的资金投入转化为对能源领域的作用，将清洁的能源技术逐渐替代污染性的能源技术，在实际的能源生产和消费中，促进了能源</w:t>
      </w:r>
      <w:r w:rsidRPr="00BE6BC4">
        <w:rPr>
          <w:rFonts w:hint="eastAsia"/>
        </w:rPr>
        <w:t>消费</w:t>
      </w:r>
      <w:r w:rsidRPr="00BE6BC4">
        <w:t>结构的优化与转型升级。此外，绿色金融政策可以鼓励企业持续进行技术创新，为技术创新提供政策支持。当前，绿色金融已经被许多学者证明能够促进技术创新，本文的文献综述部分已经进行了部分引用。</w:t>
      </w:r>
    </w:p>
    <w:p w14:paraId="162367AF" w14:textId="77777777" w:rsidR="005F07D1" w:rsidRPr="00BE6BC4" w:rsidRDefault="00000000" w:rsidP="0045411C">
      <w:r w:rsidRPr="00BE6BC4">
        <w:t>据此，本文提出假说</w:t>
      </w:r>
      <w:r w:rsidRPr="00BE6BC4">
        <w:t>H</w:t>
      </w:r>
      <w:r w:rsidRPr="00BE6BC4">
        <w:rPr>
          <w:rFonts w:hint="eastAsia"/>
        </w:rPr>
        <w:t>3</w:t>
      </w:r>
      <w:r w:rsidRPr="00BE6BC4">
        <w:t>。</w:t>
      </w:r>
    </w:p>
    <w:p w14:paraId="674D59EC" w14:textId="77777777" w:rsidR="005F07D1" w:rsidRPr="00BE6BC4" w:rsidRDefault="00000000" w:rsidP="0045411C">
      <w:r w:rsidRPr="00BE6BC4">
        <w:t>H</w:t>
      </w:r>
      <w:r w:rsidRPr="00BE6BC4">
        <w:rPr>
          <w:rFonts w:hint="eastAsia"/>
        </w:rPr>
        <w:t>3</w:t>
      </w:r>
      <w:r w:rsidRPr="00BE6BC4">
        <w:t>:</w:t>
      </w:r>
      <w:r w:rsidRPr="00BE6BC4">
        <w:t>技术创新能够在绿色金融影响能源</w:t>
      </w:r>
      <w:r w:rsidRPr="00BE6BC4">
        <w:rPr>
          <w:rFonts w:hint="eastAsia"/>
        </w:rPr>
        <w:t>消费</w:t>
      </w:r>
      <w:r w:rsidRPr="00BE6BC4">
        <w:t>结构优化与转型的过程中发挥中介效应。</w:t>
      </w:r>
    </w:p>
    <w:p w14:paraId="1D7F992A" w14:textId="572FFF67" w:rsidR="005F07D1" w:rsidRDefault="00000000" w:rsidP="005C639C">
      <w:pPr>
        <w:pStyle w:val="1"/>
      </w:pPr>
      <w:r>
        <w:rPr>
          <w:rFonts w:hint="eastAsia"/>
        </w:rPr>
        <w:t>四</w:t>
      </w:r>
      <w:r w:rsidR="005C639C">
        <w:rPr>
          <w:rFonts w:hint="eastAsia"/>
        </w:rPr>
        <w:t>、</w:t>
      </w:r>
      <w:r>
        <w:rPr>
          <w:rFonts w:hint="eastAsia"/>
        </w:rPr>
        <w:t>实证设计</w:t>
      </w:r>
    </w:p>
    <w:p w14:paraId="43239F59" w14:textId="7D15B561" w:rsidR="005F07D1" w:rsidRDefault="0092272E" w:rsidP="0045411C">
      <w:pPr>
        <w:pStyle w:val="2"/>
        <w:ind w:firstLine="482"/>
      </w:pPr>
      <w:r>
        <w:rPr>
          <w:rFonts w:hint="eastAsia"/>
        </w:rPr>
        <w:t>（一）变量设定</w:t>
      </w:r>
    </w:p>
    <w:p w14:paraId="5FC0EFBC" w14:textId="55B350D8" w:rsidR="0092272E" w:rsidRDefault="0092272E" w:rsidP="00C15E83">
      <w:pPr>
        <w:pStyle w:val="3"/>
        <w:numPr>
          <w:ilvl w:val="0"/>
          <w:numId w:val="15"/>
        </w:numPr>
      </w:pPr>
      <w:r w:rsidRPr="00BE6BC4">
        <w:rPr>
          <w:rFonts w:hint="eastAsia"/>
        </w:rPr>
        <w:t>被解释变量</w:t>
      </w:r>
    </w:p>
    <w:p w14:paraId="48A4F0EC" w14:textId="7089564E" w:rsidR="005F07D1" w:rsidRPr="00BE6BC4" w:rsidRDefault="00000000" w:rsidP="0045411C">
      <w:r w:rsidRPr="00BE6BC4">
        <w:rPr>
          <w:rFonts w:hint="eastAsia"/>
        </w:rPr>
        <w:t>本文所构建模型中的被解释变量为能源消费结构（</w:t>
      </w:r>
      <w:r w:rsidRPr="00BE6BC4">
        <w:rPr>
          <w:rFonts w:hint="eastAsia"/>
        </w:rPr>
        <w:t>ES</w:t>
      </w:r>
      <w:r w:rsidRPr="00BE6BC4">
        <w:rPr>
          <w:rFonts w:hint="eastAsia"/>
        </w:rPr>
        <w:t>）。由于煤炭消费在我国能源消费中所占的绝对比重较大，因此本文选取煤炭消费量占能源消费总量的比重来代表能源消费结构并作为被解释变量。</w:t>
      </w:r>
    </w:p>
    <w:p w14:paraId="0A310BA3" w14:textId="2B69B7D0" w:rsidR="0092272E" w:rsidRDefault="0092272E" w:rsidP="00C15E83">
      <w:pPr>
        <w:pStyle w:val="3"/>
        <w:numPr>
          <w:ilvl w:val="0"/>
          <w:numId w:val="15"/>
        </w:numPr>
      </w:pPr>
      <w:r w:rsidRPr="00BE6BC4">
        <w:rPr>
          <w:rFonts w:hint="eastAsia"/>
        </w:rPr>
        <w:t>核心解释变量</w:t>
      </w:r>
    </w:p>
    <w:p w14:paraId="7ABB7488" w14:textId="16982F34" w:rsidR="005F07D1" w:rsidRPr="00BE6BC4" w:rsidRDefault="00000000" w:rsidP="0045411C">
      <w:r w:rsidRPr="00BE6BC4">
        <w:rPr>
          <w:rFonts w:hint="eastAsia"/>
        </w:rPr>
        <w:t>本文所构建模型中的核心解释变量为绿色金融指数（</w:t>
      </w:r>
      <w:r w:rsidRPr="00BE6BC4">
        <w:rPr>
          <w:rFonts w:hint="eastAsia"/>
        </w:rPr>
        <w:t>GF</w:t>
      </w:r>
      <w:r w:rsidRPr="00BE6BC4">
        <w:rPr>
          <w:rFonts w:hint="eastAsia"/>
        </w:rPr>
        <w:t>）。当前，我国大部分学者主要从绿色信贷、绿色证券、绿色投资、绿色保险等维度，来综合度量绿色金融发展水平。本文参考该主要方法，构建了我国长江经济</w:t>
      </w:r>
      <w:proofErr w:type="gramStart"/>
      <w:r w:rsidRPr="00BE6BC4">
        <w:rPr>
          <w:rFonts w:hint="eastAsia"/>
        </w:rPr>
        <w:t>带地区</w:t>
      </w:r>
      <w:proofErr w:type="gramEnd"/>
      <w:r w:rsidRPr="00BE6BC4">
        <w:rPr>
          <w:rFonts w:hint="eastAsia"/>
        </w:rPr>
        <w:t>的绿色金融发展水平评价指标体系。该指标体系涵盖了绿色信贷、绿色证券、绿色投资、绿色保险四个维度（见表</w:t>
      </w:r>
      <w:r w:rsidRPr="00BE6BC4">
        <w:rPr>
          <w:rFonts w:hint="eastAsia"/>
        </w:rPr>
        <w:t>2</w:t>
      </w:r>
      <w:r w:rsidRPr="00BE6BC4">
        <w:rPr>
          <w:rFonts w:hint="eastAsia"/>
        </w:rPr>
        <w:t>）。本文先对指标进行同向化处理，然后借助熵值法测算长江经济带各地区的绿色金融发展水平。</w:t>
      </w:r>
    </w:p>
    <w:p w14:paraId="04728DB4" w14:textId="77777777" w:rsidR="005F07D1" w:rsidRPr="00BE6BC4" w:rsidRDefault="00000000" w:rsidP="0045411C">
      <w:r w:rsidRPr="00BE6BC4">
        <w:rPr>
          <w:rFonts w:hint="eastAsia"/>
        </w:rPr>
        <w:t>第一，绿色信贷是金融机构为环保项目提供的贷款支持，其作为绿色金融的一个具体表现形式，可以直接反映金融机构对环保、可持续发展项目的支持力度。本文选取高耗能行业利息支出占比和</w:t>
      </w:r>
      <w:r w:rsidRPr="00BE6BC4">
        <w:rPr>
          <w:rFonts w:hint="eastAsia"/>
        </w:rPr>
        <w:t>A</w:t>
      </w:r>
      <w:r w:rsidRPr="00BE6BC4">
        <w:rPr>
          <w:rFonts w:hint="eastAsia"/>
        </w:rPr>
        <w:t>股上市环保企业新增银行贷款占比这两个指标来度量绿色信贷这一指标。高耗能行业利息支出占比作为一个负向指标，占比比重越大，绿色信贷发展水平越低。而</w:t>
      </w:r>
      <w:r w:rsidRPr="00BE6BC4">
        <w:rPr>
          <w:rFonts w:hint="eastAsia"/>
        </w:rPr>
        <w:t>A</w:t>
      </w:r>
      <w:r w:rsidRPr="00BE6BC4">
        <w:rPr>
          <w:rFonts w:hint="eastAsia"/>
        </w:rPr>
        <w:t>股上市环保企业新增银行贷款占比则是一个正向指标。其中，对于</w:t>
      </w:r>
      <w:r w:rsidRPr="00BE6BC4">
        <w:rPr>
          <w:rFonts w:hint="eastAsia"/>
        </w:rPr>
        <w:t>A</w:t>
      </w:r>
      <w:r w:rsidRPr="00BE6BC4">
        <w:rPr>
          <w:rFonts w:hint="eastAsia"/>
        </w:rPr>
        <w:t>股上市环保企业新增银行贷款占比这个指标，我</w:t>
      </w:r>
      <w:r w:rsidRPr="00BE6BC4">
        <w:rPr>
          <w:rFonts w:hint="eastAsia"/>
        </w:rPr>
        <w:lastRenderedPageBreak/>
        <w:t>们剔除其中缺失严重的数据，中间缺失的则查询公司的资产负债表。对于没有上市环保企业的省份，</w:t>
      </w:r>
      <w:proofErr w:type="gramStart"/>
      <w:r w:rsidRPr="00BE6BC4">
        <w:rPr>
          <w:rFonts w:hint="eastAsia"/>
        </w:rPr>
        <w:t>则综合</w:t>
      </w:r>
      <w:proofErr w:type="gramEnd"/>
      <w:r w:rsidRPr="00BE6BC4">
        <w:rPr>
          <w:rFonts w:hint="eastAsia"/>
        </w:rPr>
        <w:t>考虑该省上市公司的公司简历、主营业务，最后选择与清洁、环保概念接近的公司。</w:t>
      </w:r>
    </w:p>
    <w:p w14:paraId="39B2F574" w14:textId="77777777" w:rsidR="005F07D1" w:rsidRPr="00BE6BC4" w:rsidRDefault="00000000" w:rsidP="0045411C">
      <w:r w:rsidRPr="00BE6BC4">
        <w:rPr>
          <w:rFonts w:hint="eastAsia"/>
        </w:rPr>
        <w:t>第二，绿色证券是绿色金融的一个具体工具，它专门用于为环保和可持续发展项目融资，代表了绿色金融中的投资活动和资金流向，本文选取</w:t>
      </w:r>
      <w:r w:rsidRPr="00BE6BC4">
        <w:rPr>
          <w:rFonts w:hint="eastAsia"/>
        </w:rPr>
        <w:t>A</w:t>
      </w:r>
      <w:r w:rsidRPr="00BE6BC4">
        <w:rPr>
          <w:rFonts w:hint="eastAsia"/>
        </w:rPr>
        <w:t>股上市环保企业市值占比和</w:t>
      </w:r>
      <w:r w:rsidRPr="00BE6BC4">
        <w:rPr>
          <w:rFonts w:hint="eastAsia"/>
        </w:rPr>
        <w:t>A</w:t>
      </w:r>
      <w:r w:rsidRPr="00BE6BC4">
        <w:rPr>
          <w:rFonts w:hint="eastAsia"/>
        </w:rPr>
        <w:t>股上市高能耗企业</w:t>
      </w:r>
      <w:r w:rsidRPr="00BE6BC4">
        <w:rPr>
          <w:rFonts w:hint="eastAsia"/>
        </w:rPr>
        <w:t>A</w:t>
      </w:r>
      <w:r w:rsidRPr="00BE6BC4">
        <w:rPr>
          <w:rFonts w:hint="eastAsia"/>
        </w:rPr>
        <w:t>股市值占比这两个指标来度量绿色证券这一指标。</w:t>
      </w:r>
    </w:p>
    <w:p w14:paraId="217F2C6C" w14:textId="77777777" w:rsidR="005F07D1" w:rsidRPr="00BE6BC4" w:rsidRDefault="00000000" w:rsidP="0045411C">
      <w:r w:rsidRPr="00BE6BC4">
        <w:rPr>
          <w:rFonts w:hint="eastAsia"/>
        </w:rPr>
        <w:t>第三，绿色投资是投向环保、低碳、可再生能源等领域的投资，该指标可以量化评估绿色金融的实施效果。绿色投资狭义上可以理解为是对环境污染治理的投资，本文利用环境污染治理投资占比和财政环保支出占比</w:t>
      </w:r>
      <w:proofErr w:type="gramStart"/>
      <w:r w:rsidRPr="00BE6BC4">
        <w:rPr>
          <w:rFonts w:hint="eastAsia"/>
        </w:rPr>
        <w:t>来作</w:t>
      </w:r>
      <w:proofErr w:type="gramEnd"/>
      <w:r w:rsidRPr="00BE6BC4">
        <w:rPr>
          <w:rFonts w:hint="eastAsia"/>
        </w:rPr>
        <w:t>为衡量绿色投资的指标，该度量指标能够直观地反映出一个国家或地区在环境治理方面的投入力度。</w:t>
      </w:r>
    </w:p>
    <w:p w14:paraId="26D7F770" w14:textId="77777777" w:rsidR="005F07D1" w:rsidRPr="00BE6BC4" w:rsidRDefault="00000000" w:rsidP="0045411C">
      <w:r w:rsidRPr="00BE6BC4">
        <w:rPr>
          <w:rFonts w:hint="eastAsia"/>
        </w:rPr>
        <w:t>第四，绿色保险是绿色金融工具中的重要组成部分，其主要是指环境污染责任保险。因此本文借助环境污染保险赔偿比例和规模环境污染保险这两个指标来度量我国绿色保险发展水平。</w:t>
      </w:r>
    </w:p>
    <w:tbl>
      <w:tblPr>
        <w:tblStyle w:val="a7"/>
        <w:tblW w:w="0" w:type="auto"/>
        <w:tblInd w:w="-5" w:type="dxa"/>
        <w:tblBorders>
          <w:top w:val="single" w:sz="12" w:space="0" w:color="auto"/>
          <w:left w:val="none" w:sz="0" w:space="0" w:color="auto"/>
          <w:bottom w:val="none" w:sz="0" w:space="0" w:color="auto"/>
          <w:right w:val="none" w:sz="0" w:space="0" w:color="auto"/>
          <w:insideH w:val="single" w:sz="6" w:space="0" w:color="auto"/>
          <w:insideV w:val="single" w:sz="12" w:space="0" w:color="auto"/>
        </w:tblBorders>
        <w:tblCellMar>
          <w:left w:w="108" w:type="dxa"/>
          <w:right w:w="108" w:type="dxa"/>
        </w:tblCellMar>
        <w:tblLook w:val="04A0" w:firstRow="1" w:lastRow="0" w:firstColumn="1" w:lastColumn="0" w:noHBand="0" w:noVBand="1"/>
      </w:tblPr>
      <w:tblGrid>
        <w:gridCol w:w="1281"/>
        <w:gridCol w:w="3686"/>
        <w:gridCol w:w="3334"/>
      </w:tblGrid>
      <w:tr w:rsidR="005F07D1" w:rsidRPr="00B63B3A" w14:paraId="134D47B2" w14:textId="77777777" w:rsidTr="0092272E">
        <w:tc>
          <w:tcPr>
            <w:tcW w:w="8301" w:type="dxa"/>
            <w:gridSpan w:val="3"/>
            <w:tcBorders>
              <w:top w:val="nil"/>
              <w:bottom w:val="single" w:sz="12" w:space="0" w:color="auto"/>
            </w:tcBorders>
            <w:vAlign w:val="center"/>
          </w:tcPr>
          <w:p w14:paraId="463C531D" w14:textId="19814618" w:rsidR="005F07D1" w:rsidRPr="00B63B3A" w:rsidRDefault="0092272E" w:rsidP="00B63B3A">
            <w:pPr>
              <w:ind w:firstLine="420"/>
              <w:jc w:val="center"/>
              <w:rPr>
                <w:rFonts w:ascii="仿宋" w:eastAsia="仿宋" w:hAnsi="仿宋"/>
                <w:sz w:val="21"/>
                <w:szCs w:val="21"/>
              </w:rPr>
            </w:pPr>
            <w:r w:rsidRPr="00B63B3A">
              <w:rPr>
                <w:rFonts w:ascii="仿宋" w:eastAsia="仿宋" w:hAnsi="仿宋" w:hint="eastAsia"/>
                <w:sz w:val="21"/>
                <w:szCs w:val="21"/>
              </w:rPr>
              <w:t>表</w:t>
            </w:r>
            <w:r w:rsidR="00C93D4C">
              <w:rPr>
                <w:rFonts w:ascii="仿宋" w:eastAsia="仿宋" w:hAnsi="仿宋" w:hint="eastAsia"/>
                <w:sz w:val="21"/>
                <w:szCs w:val="21"/>
              </w:rPr>
              <w:t>1</w:t>
            </w:r>
            <w:r w:rsidRPr="00B63B3A">
              <w:rPr>
                <w:rFonts w:ascii="仿宋" w:eastAsia="仿宋" w:hAnsi="仿宋" w:hint="eastAsia"/>
                <w:sz w:val="21"/>
                <w:szCs w:val="21"/>
              </w:rPr>
              <w:t xml:space="preserve"> 绿色金融指标体系</w:t>
            </w:r>
          </w:p>
        </w:tc>
      </w:tr>
      <w:tr w:rsidR="005F07D1" w:rsidRPr="00B63B3A" w14:paraId="41295AFD" w14:textId="77777777" w:rsidTr="00C15E83">
        <w:tblPrEx>
          <w:tblBorders>
            <w:top w:val="none" w:sz="0" w:space="0" w:color="auto"/>
            <w:bottom w:val="single" w:sz="6" w:space="0" w:color="auto"/>
            <w:insideH w:val="none" w:sz="0" w:space="0" w:color="auto"/>
            <w:insideV w:val="none" w:sz="0" w:space="0" w:color="auto"/>
          </w:tblBorders>
        </w:tblPrEx>
        <w:trPr>
          <w:trHeight w:val="520"/>
        </w:trPr>
        <w:tc>
          <w:tcPr>
            <w:tcW w:w="1281" w:type="dxa"/>
            <w:vAlign w:val="center"/>
          </w:tcPr>
          <w:p w14:paraId="16C42812"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二级指标</w:t>
            </w:r>
          </w:p>
        </w:tc>
        <w:tc>
          <w:tcPr>
            <w:tcW w:w="3686" w:type="dxa"/>
            <w:vAlign w:val="center"/>
          </w:tcPr>
          <w:p w14:paraId="7E41FB0D" w14:textId="77777777" w:rsidR="005F07D1" w:rsidRPr="00B63B3A" w:rsidRDefault="00000000" w:rsidP="00C15E83">
            <w:pPr>
              <w:ind w:firstLine="420"/>
              <w:jc w:val="center"/>
              <w:rPr>
                <w:rFonts w:ascii="仿宋" w:eastAsia="仿宋" w:hAnsi="仿宋"/>
                <w:sz w:val="21"/>
                <w:szCs w:val="21"/>
              </w:rPr>
            </w:pPr>
            <w:r w:rsidRPr="00B63B3A">
              <w:rPr>
                <w:rFonts w:ascii="仿宋" w:eastAsia="仿宋" w:hAnsi="仿宋" w:hint="eastAsia"/>
                <w:sz w:val="21"/>
                <w:szCs w:val="21"/>
              </w:rPr>
              <w:t>三</w:t>
            </w:r>
            <w:r w:rsidRPr="00B63B3A">
              <w:rPr>
                <w:rFonts w:ascii="仿宋" w:eastAsia="仿宋" w:hAnsi="仿宋"/>
                <w:sz w:val="21"/>
                <w:szCs w:val="21"/>
              </w:rPr>
              <w:t>级指标</w:t>
            </w:r>
          </w:p>
        </w:tc>
        <w:tc>
          <w:tcPr>
            <w:tcW w:w="3334" w:type="dxa"/>
            <w:vAlign w:val="center"/>
          </w:tcPr>
          <w:p w14:paraId="44490A9F" w14:textId="77777777" w:rsidR="005F07D1" w:rsidRPr="00B63B3A" w:rsidRDefault="00000000" w:rsidP="00C15E83">
            <w:pPr>
              <w:ind w:firstLine="420"/>
              <w:jc w:val="center"/>
              <w:rPr>
                <w:rFonts w:ascii="仿宋" w:eastAsia="仿宋" w:hAnsi="仿宋"/>
                <w:sz w:val="21"/>
                <w:szCs w:val="21"/>
              </w:rPr>
            </w:pPr>
            <w:r w:rsidRPr="00B63B3A">
              <w:rPr>
                <w:rFonts w:ascii="仿宋" w:eastAsia="仿宋" w:hAnsi="仿宋"/>
                <w:sz w:val="21"/>
                <w:szCs w:val="21"/>
              </w:rPr>
              <w:t>指标说明</w:t>
            </w:r>
          </w:p>
        </w:tc>
      </w:tr>
      <w:tr w:rsidR="005F07D1" w:rsidRPr="00B63B3A" w14:paraId="11D52184" w14:textId="77777777" w:rsidTr="00C15E83">
        <w:tc>
          <w:tcPr>
            <w:tcW w:w="1281" w:type="dxa"/>
            <w:vMerge w:val="restart"/>
            <w:tcBorders>
              <w:top w:val="single" w:sz="6" w:space="0" w:color="auto"/>
              <w:bottom w:val="single" w:sz="6" w:space="0" w:color="auto"/>
              <w:right w:val="nil"/>
            </w:tcBorders>
            <w:vAlign w:val="center"/>
          </w:tcPr>
          <w:p w14:paraId="6A9484F5"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绿色信贷</w:t>
            </w:r>
          </w:p>
        </w:tc>
        <w:tc>
          <w:tcPr>
            <w:tcW w:w="3686" w:type="dxa"/>
            <w:tcBorders>
              <w:top w:val="single" w:sz="6" w:space="0" w:color="auto"/>
              <w:left w:val="nil"/>
              <w:bottom w:val="single" w:sz="6" w:space="0" w:color="auto"/>
              <w:right w:val="nil"/>
            </w:tcBorders>
            <w:vAlign w:val="center"/>
          </w:tcPr>
          <w:p w14:paraId="5EBD9E2B"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hint="eastAsia"/>
                <w:sz w:val="21"/>
                <w:szCs w:val="21"/>
              </w:rPr>
              <w:t>A股</w:t>
            </w:r>
            <w:r w:rsidRPr="00B63B3A">
              <w:rPr>
                <w:rFonts w:ascii="仿宋" w:eastAsia="仿宋" w:hAnsi="仿宋"/>
                <w:sz w:val="21"/>
                <w:szCs w:val="21"/>
              </w:rPr>
              <w:t>上市环保企业新增银行贷款占比</w:t>
            </w:r>
          </w:p>
        </w:tc>
        <w:tc>
          <w:tcPr>
            <w:tcW w:w="3334" w:type="dxa"/>
            <w:tcBorders>
              <w:top w:val="single" w:sz="6" w:space="0" w:color="auto"/>
              <w:left w:val="nil"/>
              <w:bottom w:val="single" w:sz="6" w:space="0" w:color="auto"/>
            </w:tcBorders>
            <w:vAlign w:val="center"/>
          </w:tcPr>
          <w:p w14:paraId="2B69B86E" w14:textId="77777777" w:rsidR="005F07D1" w:rsidRPr="00B63B3A" w:rsidRDefault="00000000" w:rsidP="00C15E83">
            <w:pPr>
              <w:ind w:firstLineChars="0" w:firstLine="0"/>
              <w:jc w:val="left"/>
              <w:rPr>
                <w:rFonts w:ascii="仿宋" w:eastAsia="仿宋" w:hAnsi="仿宋"/>
                <w:sz w:val="21"/>
                <w:szCs w:val="21"/>
              </w:rPr>
            </w:pPr>
            <w:r w:rsidRPr="00B63B3A">
              <w:rPr>
                <w:rFonts w:ascii="仿宋" w:eastAsia="仿宋" w:hAnsi="仿宋"/>
                <w:sz w:val="21"/>
                <w:szCs w:val="21"/>
              </w:rPr>
              <w:t>A股上市环保企业新增银行贷款</w:t>
            </w:r>
            <w:r w:rsidRPr="00B63B3A">
              <w:rPr>
                <w:rFonts w:ascii="仿宋" w:eastAsia="仿宋" w:hAnsi="仿宋" w:hint="eastAsia"/>
                <w:sz w:val="21"/>
                <w:szCs w:val="21"/>
              </w:rPr>
              <w:t>/</w:t>
            </w:r>
            <w:r w:rsidRPr="00B63B3A">
              <w:rPr>
                <w:rFonts w:ascii="仿宋" w:eastAsia="仿宋" w:hAnsi="仿宋"/>
                <w:sz w:val="21"/>
                <w:szCs w:val="21"/>
              </w:rPr>
              <w:t>A股上市企业向银行的贷款</w:t>
            </w:r>
          </w:p>
        </w:tc>
      </w:tr>
      <w:tr w:rsidR="005F07D1" w:rsidRPr="00B63B3A" w14:paraId="3A2D0B36" w14:textId="77777777" w:rsidTr="00C15E83">
        <w:tc>
          <w:tcPr>
            <w:tcW w:w="1281" w:type="dxa"/>
            <w:vMerge/>
            <w:tcBorders>
              <w:top w:val="single" w:sz="6" w:space="0" w:color="auto"/>
              <w:bottom w:val="single" w:sz="6" w:space="0" w:color="auto"/>
              <w:right w:val="nil"/>
            </w:tcBorders>
            <w:vAlign w:val="center"/>
          </w:tcPr>
          <w:p w14:paraId="3873785B" w14:textId="77777777" w:rsidR="005F07D1" w:rsidRPr="00B63B3A" w:rsidRDefault="005F07D1" w:rsidP="0045411C">
            <w:pPr>
              <w:ind w:firstLine="420"/>
              <w:rPr>
                <w:rFonts w:ascii="仿宋" w:eastAsia="仿宋" w:hAnsi="仿宋"/>
                <w:sz w:val="21"/>
                <w:szCs w:val="21"/>
              </w:rPr>
            </w:pPr>
          </w:p>
        </w:tc>
        <w:tc>
          <w:tcPr>
            <w:tcW w:w="3686" w:type="dxa"/>
            <w:tcBorders>
              <w:top w:val="single" w:sz="6" w:space="0" w:color="auto"/>
              <w:left w:val="nil"/>
              <w:bottom w:val="single" w:sz="6" w:space="0" w:color="auto"/>
              <w:right w:val="nil"/>
            </w:tcBorders>
            <w:vAlign w:val="center"/>
          </w:tcPr>
          <w:p w14:paraId="40DD05C3" w14:textId="77777777" w:rsidR="005F07D1" w:rsidRPr="00B63B3A" w:rsidRDefault="00000000" w:rsidP="00C15E83">
            <w:pPr>
              <w:ind w:firstLineChars="0" w:firstLine="0"/>
              <w:jc w:val="left"/>
              <w:rPr>
                <w:rFonts w:ascii="仿宋" w:eastAsia="仿宋" w:hAnsi="仿宋"/>
                <w:sz w:val="21"/>
                <w:szCs w:val="21"/>
              </w:rPr>
            </w:pPr>
            <w:r w:rsidRPr="00B63B3A">
              <w:rPr>
                <w:rFonts w:ascii="仿宋" w:eastAsia="仿宋" w:hAnsi="仿宋"/>
                <w:sz w:val="21"/>
                <w:szCs w:val="21"/>
              </w:rPr>
              <w:t>高能耗行业利息支出占比</w:t>
            </w:r>
          </w:p>
        </w:tc>
        <w:tc>
          <w:tcPr>
            <w:tcW w:w="3334" w:type="dxa"/>
            <w:tcBorders>
              <w:top w:val="single" w:sz="6" w:space="0" w:color="auto"/>
              <w:left w:val="nil"/>
              <w:bottom w:val="single" w:sz="6" w:space="0" w:color="auto"/>
            </w:tcBorders>
            <w:vAlign w:val="center"/>
          </w:tcPr>
          <w:p w14:paraId="7A32E759" w14:textId="78E4773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六大高能耗行业利息支出/</w:t>
            </w:r>
          </w:p>
          <w:p w14:paraId="0DE2358D"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工业总利息</w:t>
            </w:r>
          </w:p>
        </w:tc>
      </w:tr>
      <w:tr w:rsidR="005F07D1" w:rsidRPr="00B63B3A" w14:paraId="5E0C52B5" w14:textId="77777777" w:rsidTr="00C15E83">
        <w:tc>
          <w:tcPr>
            <w:tcW w:w="1281" w:type="dxa"/>
            <w:vMerge w:val="restart"/>
            <w:tcBorders>
              <w:top w:val="single" w:sz="6" w:space="0" w:color="auto"/>
              <w:bottom w:val="single" w:sz="6" w:space="0" w:color="auto"/>
              <w:right w:val="nil"/>
            </w:tcBorders>
            <w:vAlign w:val="center"/>
          </w:tcPr>
          <w:p w14:paraId="6D13D7CD"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绿色证券</w:t>
            </w:r>
          </w:p>
        </w:tc>
        <w:tc>
          <w:tcPr>
            <w:tcW w:w="3686" w:type="dxa"/>
            <w:tcBorders>
              <w:top w:val="single" w:sz="6" w:space="0" w:color="auto"/>
              <w:left w:val="nil"/>
              <w:bottom w:val="single" w:sz="6" w:space="0" w:color="auto"/>
              <w:right w:val="nil"/>
            </w:tcBorders>
            <w:vAlign w:val="center"/>
          </w:tcPr>
          <w:p w14:paraId="2D4AD4BA" w14:textId="77777777" w:rsidR="005F07D1" w:rsidRPr="00B63B3A" w:rsidRDefault="00000000" w:rsidP="00C15E83">
            <w:pPr>
              <w:ind w:firstLineChars="0" w:firstLine="0"/>
              <w:jc w:val="left"/>
              <w:rPr>
                <w:rFonts w:ascii="仿宋" w:eastAsia="仿宋" w:hAnsi="仿宋"/>
                <w:sz w:val="21"/>
                <w:szCs w:val="21"/>
              </w:rPr>
            </w:pPr>
            <w:r w:rsidRPr="00B63B3A">
              <w:rPr>
                <w:rFonts w:ascii="仿宋" w:eastAsia="仿宋" w:hAnsi="仿宋"/>
                <w:sz w:val="21"/>
                <w:szCs w:val="21"/>
              </w:rPr>
              <w:t>A股上市环保企业市值占比</w:t>
            </w:r>
          </w:p>
        </w:tc>
        <w:tc>
          <w:tcPr>
            <w:tcW w:w="3334" w:type="dxa"/>
            <w:tcBorders>
              <w:top w:val="single" w:sz="6" w:space="0" w:color="auto"/>
              <w:left w:val="nil"/>
              <w:bottom w:val="single" w:sz="6" w:space="0" w:color="auto"/>
            </w:tcBorders>
            <w:vAlign w:val="center"/>
          </w:tcPr>
          <w:p w14:paraId="2ACFA3C9"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A股上市环保企业市值/</w:t>
            </w:r>
          </w:p>
          <w:p w14:paraId="7ACB230B"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A股上市企业总市值</w:t>
            </w:r>
          </w:p>
        </w:tc>
      </w:tr>
      <w:tr w:rsidR="005F07D1" w:rsidRPr="00B63B3A" w14:paraId="3D9DF1B0" w14:textId="77777777" w:rsidTr="00C15E83">
        <w:tc>
          <w:tcPr>
            <w:tcW w:w="1281" w:type="dxa"/>
            <w:vMerge/>
            <w:tcBorders>
              <w:top w:val="single" w:sz="6" w:space="0" w:color="auto"/>
              <w:bottom w:val="single" w:sz="6" w:space="0" w:color="auto"/>
              <w:right w:val="nil"/>
            </w:tcBorders>
            <w:vAlign w:val="center"/>
          </w:tcPr>
          <w:p w14:paraId="19CDD162" w14:textId="77777777" w:rsidR="005F07D1" w:rsidRPr="00B63B3A" w:rsidRDefault="005F07D1" w:rsidP="0045411C">
            <w:pPr>
              <w:ind w:firstLine="420"/>
              <w:rPr>
                <w:rFonts w:ascii="仿宋" w:eastAsia="仿宋" w:hAnsi="仿宋"/>
                <w:sz w:val="21"/>
                <w:szCs w:val="21"/>
              </w:rPr>
            </w:pPr>
          </w:p>
        </w:tc>
        <w:tc>
          <w:tcPr>
            <w:tcW w:w="3686" w:type="dxa"/>
            <w:tcBorders>
              <w:top w:val="single" w:sz="6" w:space="0" w:color="auto"/>
              <w:left w:val="nil"/>
              <w:bottom w:val="single" w:sz="6" w:space="0" w:color="auto"/>
              <w:right w:val="nil"/>
            </w:tcBorders>
            <w:vAlign w:val="center"/>
          </w:tcPr>
          <w:p w14:paraId="07E65819" w14:textId="77777777" w:rsidR="005F07D1" w:rsidRPr="00B63B3A" w:rsidRDefault="00000000" w:rsidP="00C15E83">
            <w:pPr>
              <w:ind w:firstLineChars="0" w:firstLine="0"/>
              <w:jc w:val="left"/>
              <w:rPr>
                <w:rFonts w:ascii="仿宋" w:eastAsia="仿宋" w:hAnsi="仿宋"/>
                <w:sz w:val="21"/>
                <w:szCs w:val="21"/>
              </w:rPr>
            </w:pPr>
            <w:r w:rsidRPr="00B63B3A">
              <w:rPr>
                <w:rFonts w:ascii="仿宋" w:eastAsia="仿宋" w:hAnsi="仿宋"/>
                <w:sz w:val="21"/>
                <w:szCs w:val="21"/>
              </w:rPr>
              <w:t>A股上市高能耗企业A股市值占比</w:t>
            </w:r>
          </w:p>
        </w:tc>
        <w:tc>
          <w:tcPr>
            <w:tcW w:w="3334" w:type="dxa"/>
            <w:tcBorders>
              <w:top w:val="single" w:sz="6" w:space="0" w:color="auto"/>
              <w:left w:val="nil"/>
              <w:bottom w:val="single" w:sz="6" w:space="0" w:color="auto"/>
            </w:tcBorders>
            <w:vAlign w:val="center"/>
          </w:tcPr>
          <w:p w14:paraId="2ACE731A"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A股上市高能耗企业市值/</w:t>
            </w:r>
          </w:p>
          <w:p w14:paraId="4D2272E1" w14:textId="77777777" w:rsidR="005F07D1" w:rsidRPr="00B63B3A" w:rsidRDefault="00000000" w:rsidP="00682804">
            <w:pPr>
              <w:ind w:firstLineChars="0" w:firstLine="0"/>
              <w:jc w:val="left"/>
              <w:rPr>
                <w:rFonts w:ascii="仿宋" w:eastAsia="仿宋" w:hAnsi="仿宋"/>
                <w:sz w:val="21"/>
                <w:szCs w:val="21"/>
              </w:rPr>
            </w:pPr>
            <w:r w:rsidRPr="00B63B3A">
              <w:rPr>
                <w:rFonts w:ascii="仿宋" w:eastAsia="仿宋" w:hAnsi="仿宋"/>
                <w:sz w:val="21"/>
                <w:szCs w:val="21"/>
              </w:rPr>
              <w:t>A股上市企业总市值</w:t>
            </w:r>
          </w:p>
        </w:tc>
      </w:tr>
      <w:tr w:rsidR="005F07D1" w:rsidRPr="00B63B3A" w14:paraId="301B11B1" w14:textId="77777777" w:rsidTr="00C15E83">
        <w:tc>
          <w:tcPr>
            <w:tcW w:w="1281" w:type="dxa"/>
            <w:vMerge w:val="restart"/>
            <w:tcBorders>
              <w:top w:val="single" w:sz="6" w:space="0" w:color="auto"/>
              <w:bottom w:val="single" w:sz="6" w:space="0" w:color="auto"/>
              <w:right w:val="nil"/>
            </w:tcBorders>
            <w:vAlign w:val="center"/>
          </w:tcPr>
          <w:p w14:paraId="6F4DBF82"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绿色保险</w:t>
            </w:r>
          </w:p>
        </w:tc>
        <w:tc>
          <w:tcPr>
            <w:tcW w:w="3686" w:type="dxa"/>
            <w:tcBorders>
              <w:top w:val="single" w:sz="6" w:space="0" w:color="auto"/>
              <w:left w:val="nil"/>
              <w:bottom w:val="single" w:sz="6" w:space="0" w:color="auto"/>
              <w:right w:val="nil"/>
            </w:tcBorders>
            <w:vAlign w:val="center"/>
          </w:tcPr>
          <w:p w14:paraId="14B8BE83"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规模环境污染保险</w:t>
            </w:r>
          </w:p>
        </w:tc>
        <w:tc>
          <w:tcPr>
            <w:tcW w:w="3334" w:type="dxa"/>
            <w:tcBorders>
              <w:top w:val="single" w:sz="6" w:space="0" w:color="auto"/>
              <w:left w:val="nil"/>
              <w:bottom w:val="single" w:sz="6" w:space="0" w:color="auto"/>
            </w:tcBorders>
            <w:vAlign w:val="center"/>
          </w:tcPr>
          <w:p w14:paraId="0E716ACE"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农业保险收入/财产保险收入</w:t>
            </w:r>
          </w:p>
        </w:tc>
      </w:tr>
      <w:tr w:rsidR="005F07D1" w:rsidRPr="00B63B3A" w14:paraId="159EA219" w14:textId="77777777" w:rsidTr="00C15E83">
        <w:tc>
          <w:tcPr>
            <w:tcW w:w="1281" w:type="dxa"/>
            <w:vMerge/>
            <w:tcBorders>
              <w:top w:val="single" w:sz="6" w:space="0" w:color="auto"/>
              <w:bottom w:val="nil"/>
              <w:right w:val="nil"/>
            </w:tcBorders>
            <w:vAlign w:val="center"/>
          </w:tcPr>
          <w:p w14:paraId="19827743" w14:textId="77777777" w:rsidR="005F07D1" w:rsidRPr="00B63B3A" w:rsidRDefault="005F07D1" w:rsidP="0045411C">
            <w:pPr>
              <w:ind w:firstLine="420"/>
              <w:rPr>
                <w:rFonts w:ascii="仿宋" w:eastAsia="仿宋" w:hAnsi="仿宋"/>
                <w:sz w:val="21"/>
                <w:szCs w:val="21"/>
              </w:rPr>
            </w:pPr>
          </w:p>
        </w:tc>
        <w:tc>
          <w:tcPr>
            <w:tcW w:w="3686" w:type="dxa"/>
            <w:tcBorders>
              <w:top w:val="single" w:sz="6" w:space="0" w:color="auto"/>
              <w:left w:val="nil"/>
              <w:bottom w:val="single" w:sz="6" w:space="0" w:color="auto"/>
              <w:right w:val="nil"/>
            </w:tcBorders>
            <w:vAlign w:val="center"/>
          </w:tcPr>
          <w:p w14:paraId="3D261583"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环境污染保险赔偿比例</w:t>
            </w:r>
          </w:p>
        </w:tc>
        <w:tc>
          <w:tcPr>
            <w:tcW w:w="3334" w:type="dxa"/>
            <w:tcBorders>
              <w:top w:val="single" w:sz="6" w:space="0" w:color="auto"/>
              <w:left w:val="nil"/>
              <w:bottom w:val="single" w:sz="6" w:space="0" w:color="auto"/>
            </w:tcBorders>
            <w:vAlign w:val="center"/>
          </w:tcPr>
          <w:p w14:paraId="79142A10"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农业保险支出/农业保险收入</w:t>
            </w:r>
          </w:p>
        </w:tc>
      </w:tr>
    </w:tbl>
    <w:tbl>
      <w:tblPr>
        <w:tblW w:w="0" w:type="auto"/>
        <w:tblInd w:w="-5" w:type="dxa"/>
        <w:tblBorders>
          <w:bottom w:val="single" w:sz="6" w:space="0" w:color="auto"/>
        </w:tblBorders>
        <w:tblLook w:val="04A0" w:firstRow="1" w:lastRow="0" w:firstColumn="1" w:lastColumn="0" w:noHBand="0" w:noVBand="1"/>
      </w:tblPr>
      <w:tblGrid>
        <w:gridCol w:w="1281"/>
        <w:gridCol w:w="3686"/>
        <w:gridCol w:w="3334"/>
      </w:tblGrid>
      <w:tr w:rsidR="005F07D1" w:rsidRPr="00B63B3A" w14:paraId="7352B6D0" w14:textId="77777777" w:rsidTr="00682804">
        <w:tc>
          <w:tcPr>
            <w:tcW w:w="1281" w:type="dxa"/>
            <w:vMerge w:val="restart"/>
            <w:vAlign w:val="center"/>
          </w:tcPr>
          <w:p w14:paraId="01BD5D59"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绿色投资</w:t>
            </w:r>
          </w:p>
        </w:tc>
        <w:tc>
          <w:tcPr>
            <w:tcW w:w="3686" w:type="dxa"/>
            <w:tcBorders>
              <w:bottom w:val="single" w:sz="6" w:space="0" w:color="auto"/>
            </w:tcBorders>
            <w:vAlign w:val="center"/>
          </w:tcPr>
          <w:p w14:paraId="58B2BEA7"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环境污染治理投资占比</w:t>
            </w:r>
          </w:p>
        </w:tc>
        <w:tc>
          <w:tcPr>
            <w:tcW w:w="3334" w:type="dxa"/>
            <w:tcBorders>
              <w:bottom w:val="single" w:sz="6" w:space="0" w:color="auto"/>
            </w:tcBorders>
            <w:vAlign w:val="center"/>
          </w:tcPr>
          <w:p w14:paraId="5C48E3A9" w14:textId="77777777"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环境污染治理投资/GDP</w:t>
            </w:r>
          </w:p>
        </w:tc>
      </w:tr>
      <w:tr w:rsidR="005F07D1" w:rsidRPr="00B63B3A" w14:paraId="14BDFF21" w14:textId="77777777" w:rsidTr="00682804">
        <w:tc>
          <w:tcPr>
            <w:tcW w:w="1281" w:type="dxa"/>
            <w:vMerge/>
            <w:tcBorders>
              <w:top w:val="single" w:sz="6" w:space="0" w:color="auto"/>
            </w:tcBorders>
            <w:vAlign w:val="center"/>
          </w:tcPr>
          <w:p w14:paraId="473C4365" w14:textId="77777777" w:rsidR="005F07D1" w:rsidRPr="00B63B3A" w:rsidRDefault="005F07D1" w:rsidP="0045411C">
            <w:pPr>
              <w:ind w:firstLine="420"/>
              <w:rPr>
                <w:rFonts w:ascii="仿宋" w:eastAsia="仿宋" w:hAnsi="仿宋"/>
                <w:sz w:val="21"/>
                <w:szCs w:val="21"/>
              </w:rPr>
            </w:pPr>
          </w:p>
        </w:tc>
        <w:tc>
          <w:tcPr>
            <w:tcW w:w="3686" w:type="dxa"/>
            <w:tcBorders>
              <w:top w:val="single" w:sz="6" w:space="0" w:color="auto"/>
            </w:tcBorders>
            <w:vAlign w:val="center"/>
          </w:tcPr>
          <w:p w14:paraId="6DF26104" w14:textId="77777777" w:rsidR="005F07D1" w:rsidRPr="00B63B3A" w:rsidRDefault="00000000" w:rsidP="00682804">
            <w:pPr>
              <w:ind w:firstLineChars="0" w:firstLine="0"/>
              <w:rPr>
                <w:rFonts w:ascii="仿宋" w:eastAsia="仿宋" w:hAnsi="仿宋"/>
                <w:sz w:val="21"/>
                <w:szCs w:val="21"/>
              </w:rPr>
            </w:pPr>
            <w:r w:rsidRPr="00B63B3A">
              <w:rPr>
                <w:rFonts w:ascii="仿宋" w:eastAsia="仿宋" w:hAnsi="仿宋"/>
                <w:sz w:val="21"/>
                <w:szCs w:val="21"/>
              </w:rPr>
              <w:t>财政环保支出占比</w:t>
            </w:r>
          </w:p>
        </w:tc>
        <w:tc>
          <w:tcPr>
            <w:tcW w:w="3334" w:type="dxa"/>
            <w:tcBorders>
              <w:top w:val="single" w:sz="6" w:space="0" w:color="auto"/>
            </w:tcBorders>
            <w:vAlign w:val="center"/>
          </w:tcPr>
          <w:p w14:paraId="0680C2CE" w14:textId="110ABE4E" w:rsidR="005F07D1" w:rsidRPr="00B63B3A" w:rsidRDefault="00000000" w:rsidP="00C15E83">
            <w:pPr>
              <w:ind w:firstLineChars="0" w:firstLine="0"/>
              <w:rPr>
                <w:rFonts w:ascii="仿宋" w:eastAsia="仿宋" w:hAnsi="仿宋"/>
                <w:sz w:val="21"/>
                <w:szCs w:val="21"/>
              </w:rPr>
            </w:pPr>
            <w:r w:rsidRPr="00B63B3A">
              <w:rPr>
                <w:rFonts w:ascii="仿宋" w:eastAsia="仿宋" w:hAnsi="仿宋"/>
                <w:sz w:val="21"/>
                <w:szCs w:val="21"/>
              </w:rPr>
              <w:t>财政环境保护支出/财政总支出</w:t>
            </w:r>
          </w:p>
        </w:tc>
      </w:tr>
    </w:tbl>
    <w:p w14:paraId="58F7A4C7" w14:textId="44B8C26A" w:rsidR="0092272E" w:rsidRDefault="00000000" w:rsidP="0045411C">
      <w:pPr>
        <w:pStyle w:val="2"/>
        <w:ind w:firstLine="480"/>
        <w:rPr>
          <w:rStyle w:val="20"/>
        </w:rPr>
      </w:pPr>
      <w:r w:rsidRPr="0092272E">
        <w:rPr>
          <w:rStyle w:val="20"/>
        </w:rPr>
        <w:t>（</w:t>
      </w:r>
      <w:r w:rsidR="0045411C">
        <w:rPr>
          <w:rStyle w:val="20"/>
          <w:rFonts w:hint="eastAsia"/>
        </w:rPr>
        <w:t>二</w:t>
      </w:r>
      <w:r w:rsidRPr="0092272E">
        <w:rPr>
          <w:rStyle w:val="20"/>
        </w:rPr>
        <w:t>）中介变量</w:t>
      </w:r>
    </w:p>
    <w:p w14:paraId="57F1417F" w14:textId="1CD95752" w:rsidR="005F07D1" w:rsidRPr="00BE6BC4" w:rsidRDefault="00000000" w:rsidP="0045411C">
      <w:r w:rsidRPr="00BE6BC4">
        <w:rPr>
          <w:rFonts w:hint="eastAsia"/>
        </w:rPr>
        <w:t>通过收集相关外文文献，本文将技术创新（</w:t>
      </w:r>
      <w:r w:rsidRPr="00BE6BC4">
        <w:rPr>
          <w:rFonts w:hint="eastAsia"/>
        </w:rPr>
        <w:t>RD</w:t>
      </w:r>
      <w:r w:rsidRPr="00BE6BC4">
        <w:rPr>
          <w:rFonts w:hint="eastAsia"/>
        </w:rPr>
        <w:t>）作为</w:t>
      </w:r>
      <w:r w:rsidRPr="00BE6BC4">
        <w:t>探讨的间接机制的重要部分。</w:t>
      </w:r>
      <w:r w:rsidRPr="00BE6BC4">
        <w:rPr>
          <w:rFonts w:hint="eastAsia"/>
        </w:rPr>
        <w:t>本文选取发明专利申请受理数来度量技术创新这一指标，探讨绿色金融通过绿色技术创新这一中介变量对能源结构的影响机制。</w:t>
      </w:r>
    </w:p>
    <w:p w14:paraId="0E550C19" w14:textId="7F0722B6" w:rsidR="0045411C" w:rsidRDefault="00000000" w:rsidP="0045411C">
      <w:pPr>
        <w:pStyle w:val="2"/>
        <w:ind w:firstLine="480"/>
        <w:rPr>
          <w:rStyle w:val="20"/>
        </w:rPr>
      </w:pPr>
      <w:r w:rsidRPr="0045411C">
        <w:rPr>
          <w:rStyle w:val="20"/>
        </w:rPr>
        <w:t>（</w:t>
      </w:r>
      <w:r w:rsidR="0045411C">
        <w:rPr>
          <w:rStyle w:val="20"/>
          <w:rFonts w:hint="eastAsia"/>
        </w:rPr>
        <w:t>三</w:t>
      </w:r>
      <w:r w:rsidRPr="0045411C">
        <w:rPr>
          <w:rStyle w:val="20"/>
        </w:rPr>
        <w:t>）控制变量</w:t>
      </w:r>
    </w:p>
    <w:p w14:paraId="5D6A7AEE" w14:textId="497E5378" w:rsidR="005F07D1" w:rsidRDefault="00000000" w:rsidP="0045411C">
      <w:r>
        <w:t>结合</w:t>
      </w:r>
      <w:r>
        <w:rPr>
          <w:rFonts w:hint="eastAsia"/>
        </w:rPr>
        <w:t>能源结构</w:t>
      </w:r>
      <w:r>
        <w:t>的现状及以往的文献资料，本文所设计的模型选取</w:t>
      </w:r>
      <w:r>
        <w:rPr>
          <w:rFonts w:hint="eastAsia"/>
        </w:rPr>
        <w:t>能源价格、</w:t>
      </w:r>
      <w:r>
        <w:rPr>
          <w:rFonts w:hint="eastAsia"/>
        </w:rPr>
        <w:lastRenderedPageBreak/>
        <w:t>经济规模、对外开放程度和环境规制强度作为</w:t>
      </w:r>
      <w:r>
        <w:t>控制变量</w:t>
      </w:r>
      <w:r>
        <w:rPr>
          <w:rFonts w:hint="eastAsia"/>
        </w:rPr>
        <w:t>。</w:t>
      </w:r>
      <w:r>
        <w:rPr>
          <w:rFonts w:ascii="宋体" w:hAnsi="宋体" w:cs="宋体" w:hint="eastAsia"/>
        </w:rPr>
        <w:t>①</w:t>
      </w:r>
      <w:r>
        <w:rPr>
          <w:rFonts w:hint="eastAsia"/>
        </w:rPr>
        <w:t>能源价格</w:t>
      </w:r>
      <w:r>
        <w:t>。</w:t>
      </w:r>
      <w:r>
        <w:rPr>
          <w:rFonts w:hint="eastAsia"/>
        </w:rPr>
        <w:t>能源价格采用工业生产者购进价格指数来表示。能源价格的变化能够直接影响能源的需求和企业的投资决策，进而对能源结构的转型与优化产生重要作用</w:t>
      </w:r>
      <w:r>
        <w:t>。</w:t>
      </w:r>
      <w:r>
        <w:rPr>
          <w:rFonts w:hint="eastAsia"/>
        </w:rPr>
        <w:t>本文对该</w:t>
      </w:r>
      <w:proofErr w:type="gramStart"/>
      <w:r>
        <w:rPr>
          <w:rFonts w:hint="eastAsia"/>
        </w:rPr>
        <w:t>指数取对数值</w:t>
      </w:r>
      <w:proofErr w:type="gramEnd"/>
      <w:r>
        <w:rPr>
          <w:rFonts w:hint="eastAsia"/>
        </w:rPr>
        <w:t>来衡量当地的能源价格。这主要是因为借助对数值表示利于缩小数据的异方差性，同时缩小的数值便于比较不同观测值之间的差异。②对外开放程度</w:t>
      </w:r>
      <w:r>
        <w:t>。</w:t>
      </w:r>
      <w:r>
        <w:rPr>
          <w:rFonts w:hint="eastAsia"/>
        </w:rPr>
        <w:t>本文以</w:t>
      </w:r>
      <w:r>
        <w:t>地区进出口贸易总额</w:t>
      </w:r>
      <w:r>
        <w:rPr>
          <w:rFonts w:hint="eastAsia"/>
        </w:rPr>
        <w:t>占</w:t>
      </w:r>
      <w:r>
        <w:t>地区生产总值</w:t>
      </w:r>
      <w:r>
        <w:rPr>
          <w:rFonts w:hint="eastAsia"/>
        </w:rPr>
        <w:t>比重</w:t>
      </w:r>
      <w:r>
        <w:t>来表示</w:t>
      </w:r>
      <w:r>
        <w:rPr>
          <w:rFonts w:hint="eastAsia"/>
        </w:rPr>
        <w:t>对外开放程度水平</w:t>
      </w:r>
      <w:r>
        <w:t>。对外开放程度高意味着与外部经济的联系更加紧密，更容易受到国际能源市场和价格波动的影响。这种影响可能传导到国内能源市场，进而影响能源结构的</w:t>
      </w:r>
      <w:r>
        <w:rPr>
          <w:rFonts w:hint="eastAsia"/>
        </w:rPr>
        <w:t>转型</w:t>
      </w:r>
      <w:r>
        <w:t>和优化。</w:t>
      </w:r>
      <w:r>
        <w:rPr>
          <w:rFonts w:hint="eastAsia"/>
        </w:rPr>
        <w:t>③环境规制强度。结合当前我国的大量文献研究成果，本文参考刘</w:t>
      </w:r>
      <w:proofErr w:type="gramStart"/>
      <w:r>
        <w:rPr>
          <w:rFonts w:hint="eastAsia"/>
        </w:rPr>
        <w:t>荣增与</w:t>
      </w:r>
      <w:proofErr w:type="gramEnd"/>
      <w:r>
        <w:rPr>
          <w:rFonts w:hint="eastAsia"/>
        </w:rPr>
        <w:t>何春的研究方法，通过工业污染治理完成投资额</w:t>
      </w:r>
      <w:r>
        <w:rPr>
          <w:rFonts w:hint="eastAsia"/>
        </w:rPr>
        <w:t>/</w:t>
      </w:r>
      <w:r>
        <w:rPr>
          <w:rFonts w:hint="eastAsia"/>
        </w:rPr>
        <w:t>工业增加值的方法衡量各地区环境规制强度。随着工业污染治理完成投资额</w:t>
      </w:r>
      <w:r>
        <w:rPr>
          <w:rFonts w:hint="eastAsia"/>
        </w:rPr>
        <w:t>/</w:t>
      </w:r>
      <w:r>
        <w:rPr>
          <w:rFonts w:hint="eastAsia"/>
        </w:rPr>
        <w:t>工业增加值这一数值的增加，环境规制越发严格。环境规制作为控制变量，可以通过政策导向、外部性内部化、信息透明度等途径，影响绿色金融对能源结构转型与优化的作用。④经济规模。本文以地区实际生产总值的对数值来衡量当地的经济规模。这主要是因为经济规模的变化直接影响着能源消费和结构的变化，通过借助对数值表示有利于缩小数据的异方差性，</w:t>
      </w:r>
      <w:r>
        <w:t>同时缩小的数值便于比较</w:t>
      </w:r>
      <w:r>
        <w:rPr>
          <w:rFonts w:hint="eastAsia"/>
        </w:rPr>
        <w:t>不同观测值之间的差异。</w:t>
      </w:r>
    </w:p>
    <w:p w14:paraId="58FAD579" w14:textId="576E7CDB" w:rsidR="005F07D1" w:rsidRDefault="0092272E" w:rsidP="0045411C">
      <w:pPr>
        <w:pStyle w:val="2"/>
        <w:ind w:firstLine="482"/>
        <w:rPr>
          <w:lang w:bidi="ar"/>
        </w:rPr>
      </w:pPr>
      <w:r>
        <w:rPr>
          <w:rFonts w:hint="eastAsia"/>
          <w:lang w:bidi="ar"/>
        </w:rPr>
        <w:t>（</w:t>
      </w:r>
      <w:r w:rsidR="0045411C">
        <w:rPr>
          <w:rFonts w:hint="eastAsia"/>
          <w:lang w:bidi="ar"/>
        </w:rPr>
        <w:t>四</w:t>
      </w:r>
      <w:r>
        <w:rPr>
          <w:rFonts w:hint="eastAsia"/>
          <w:lang w:bidi="ar"/>
        </w:rPr>
        <w:t>）指标赋权及测算方法</w:t>
      </w:r>
    </w:p>
    <w:p w14:paraId="29DC7B12" w14:textId="77777777" w:rsidR="005F07D1" w:rsidRDefault="00000000" w:rsidP="0045411C">
      <w:pPr>
        <w:rPr>
          <w:lang w:bidi="ar"/>
        </w:rPr>
      </w:pPr>
      <w:r>
        <w:rPr>
          <w:rFonts w:hint="eastAsia"/>
          <w:lang w:bidi="ar"/>
        </w:rPr>
        <w:t>绿色金融指标体系包含多维指标，由于数据指标之间选取的单位不同，因此在计算综合指标前，需要对数据进行处理。本文采用熵值法对绿色信贷、绿色证券、绿色保险、绿色投资数据进行无</w:t>
      </w:r>
      <w:proofErr w:type="gramStart"/>
      <w:r>
        <w:rPr>
          <w:rFonts w:hint="eastAsia"/>
          <w:lang w:bidi="ar"/>
        </w:rPr>
        <w:t>量纲化</w:t>
      </w:r>
      <w:proofErr w:type="gramEnd"/>
      <w:r>
        <w:rPr>
          <w:rFonts w:hint="eastAsia"/>
          <w:lang w:bidi="ar"/>
        </w:rPr>
        <w:t>处理。本文选择的所有绿色金融发展指标都是正相关的，因此指标标准化公式如下：</w:t>
      </w:r>
    </w:p>
    <w:p w14:paraId="23AF20E0" w14:textId="0F6AD147" w:rsidR="005F07D1" w:rsidRDefault="00000000" w:rsidP="00C93D4C">
      <w:pPr>
        <w:rPr>
          <w:lang w:bidi="ar"/>
        </w:rPr>
      </w:pPr>
      <w:r>
        <w:rPr>
          <w:rFonts w:hint="eastAsia"/>
          <w:lang w:bidi="ar"/>
        </w:rPr>
        <w:t>其中，</w:t>
      </w:r>
      <w:r>
        <w:rPr>
          <w:rFonts w:hint="eastAsia"/>
          <w:noProof/>
          <w:position w:val="-7"/>
          <w:lang w:bidi="ar"/>
        </w:rPr>
        <w:drawing>
          <wp:inline distT="0" distB="0" distL="114300" distR="114300" wp14:anchorId="0A5597A7" wp14:editId="10A7A9D4">
            <wp:extent cx="165100" cy="171450"/>
            <wp:effectExtent l="0" t="0" r="0" b="50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5100" cy="171450"/>
                    </a:xfrm>
                    <a:prstGeom prst="rect">
                      <a:avLst/>
                    </a:prstGeom>
                    <a:noFill/>
                    <a:ln>
                      <a:noFill/>
                    </a:ln>
                  </pic:spPr>
                </pic:pic>
              </a:graphicData>
            </a:graphic>
          </wp:inline>
        </w:drawing>
      </w:r>
      <w:r>
        <w:rPr>
          <w:rFonts w:hint="eastAsia"/>
          <w:lang w:bidi="ar"/>
        </w:rPr>
        <w:t>为第</w:t>
      </w:r>
      <w:proofErr w:type="spellStart"/>
      <w:r>
        <w:rPr>
          <w:rFonts w:hint="eastAsia"/>
          <w:lang w:bidi="ar"/>
        </w:rPr>
        <w:t>i</w:t>
      </w:r>
      <w:proofErr w:type="spellEnd"/>
      <w:proofErr w:type="gramStart"/>
      <w:r>
        <w:rPr>
          <w:rFonts w:hint="eastAsia"/>
          <w:lang w:bidi="ar"/>
        </w:rPr>
        <w:t>个</w:t>
      </w:r>
      <w:proofErr w:type="gramEnd"/>
      <w:r>
        <w:rPr>
          <w:rFonts w:hint="eastAsia"/>
          <w:lang w:bidi="ar"/>
        </w:rPr>
        <w:t>样本的第</w:t>
      </w:r>
      <w:r>
        <w:rPr>
          <w:rFonts w:hint="eastAsia"/>
          <w:lang w:bidi="ar"/>
        </w:rPr>
        <w:t>j</w:t>
      </w:r>
      <w:r>
        <w:rPr>
          <w:rFonts w:hint="eastAsia"/>
          <w:lang w:bidi="ar"/>
        </w:rPr>
        <w:t>项指标的数值。为了避免求熵值时对数无意义，本文为每个值加上较小数量级的实数，为</w:t>
      </w:r>
      <w:r>
        <w:rPr>
          <w:rFonts w:hint="eastAsia"/>
          <w:lang w:bidi="ar"/>
        </w:rPr>
        <w:t>0.0001</w:t>
      </w:r>
      <w:r>
        <w:rPr>
          <w:rFonts w:hint="eastAsia"/>
          <w:lang w:bidi="ar"/>
        </w:rPr>
        <w:t>。</w:t>
      </w:r>
    </w:p>
    <w:p w14:paraId="108CFD81" w14:textId="364C4B19" w:rsidR="005F07D1" w:rsidRPr="00C93D4C" w:rsidRDefault="00C93D4C" w:rsidP="00C93D4C">
      <w:pPr>
        <w:ind w:firstLineChars="0" w:firstLine="0"/>
        <w:rPr>
          <w:rFonts w:ascii="Calibri" w:hAnsi="Calibri" w:cs="Calibri"/>
          <w:szCs w:val="21"/>
        </w:rPr>
      </w:pPr>
      <m:oMathPara>
        <m:oMath>
          <m:sSub>
            <m:sSubPr>
              <m:ctrlPr>
                <w:rPr>
                  <w:rFonts w:ascii="Cambria Math" w:hAnsi="Cambria Math" w:cs="Calibri"/>
                  <w:szCs w:val="21"/>
                </w:rPr>
              </m:ctrlPr>
            </m:sSubPr>
            <m:e>
              <m:r>
                <m:rPr>
                  <m:sty m:val="p"/>
                </m:rPr>
                <w:rPr>
                  <w:rFonts w:ascii="Cambria Math" w:hAnsi="Cambria Math" w:cs="Calibri"/>
                  <w:szCs w:val="21"/>
                </w:rPr>
                <m:t>Y</m:t>
              </m:r>
            </m:e>
            <m:sub>
              <m:r>
                <m:rPr>
                  <m:sty m:val="p"/>
                </m:rPr>
                <w:rPr>
                  <w:rFonts w:ascii="Cambria Math" w:hAnsi="Cambria Math" w:cs="Calibri"/>
                  <w:szCs w:val="21"/>
                </w:rPr>
                <m:t>ij</m:t>
              </m:r>
            </m:sub>
          </m:sSub>
          <m:r>
            <w:rPr>
              <w:rFonts w:ascii="Cambria Math" w:hAnsi="Cambria Math" w:cs="Calibri"/>
              <w:szCs w:val="21"/>
            </w:rPr>
            <m:t>=</m:t>
          </m:r>
          <m:f>
            <m:fPr>
              <m:ctrlPr>
                <w:rPr>
                  <w:rFonts w:ascii="Cambria Math" w:hAnsi="Cambria Math" w:cs="Calibri"/>
                  <w:szCs w:val="21"/>
                </w:rPr>
              </m:ctrlPr>
            </m:fPr>
            <m:num>
              <m:sSub>
                <m:sSubPr>
                  <m:ctrlPr>
                    <w:rPr>
                      <w:rFonts w:ascii="Cambria Math" w:hAnsi="Cambria Math" w:cs="Calibri"/>
                      <w:szCs w:val="21"/>
                    </w:rPr>
                  </m:ctrlPr>
                </m:sSubPr>
                <m:e>
                  <m:r>
                    <m:rPr>
                      <m:sty m:val="p"/>
                    </m:rPr>
                    <w:rPr>
                      <w:rFonts w:ascii="Cambria Math" w:hAnsi="Cambria Math" w:cs="Calibri"/>
                      <w:szCs w:val="21"/>
                    </w:rPr>
                    <m:t>X</m:t>
                  </m:r>
                </m:e>
                <m:sub>
                  <m:r>
                    <m:rPr>
                      <m:sty m:val="p"/>
                    </m:rPr>
                    <w:rPr>
                      <w:rFonts w:ascii="Cambria Math" w:hAnsi="Cambria Math" w:cs="Calibri"/>
                      <w:szCs w:val="21"/>
                    </w:rPr>
                    <m:t>ij</m:t>
                  </m:r>
                </m:sub>
              </m:sSub>
              <m:r>
                <w:rPr>
                  <w:rFonts w:ascii="Cambria Math" w:hAnsi="Cambria Math" w:cs="Calibri"/>
                  <w:szCs w:val="21"/>
                </w:rPr>
                <m:t>-</m:t>
              </m:r>
              <m:r>
                <m:rPr>
                  <m:sty m:val="p"/>
                </m:rPr>
                <w:rPr>
                  <w:rFonts w:ascii="Cambria Math" w:hAnsi="Cambria Math" w:cs="Calibri"/>
                  <w:szCs w:val="21"/>
                </w:rPr>
                <m:t>min</m:t>
              </m:r>
              <m:d>
                <m:dPr>
                  <m:ctrlPr>
                    <w:rPr>
                      <w:rFonts w:ascii="Cambria Math" w:hAnsi="Cambria Math" w:cs="Calibri"/>
                      <w:szCs w:val="21"/>
                    </w:rPr>
                  </m:ctrlPr>
                </m:dPr>
                <m:e>
                  <m:sSub>
                    <m:sSubPr>
                      <m:ctrlPr>
                        <w:rPr>
                          <w:rFonts w:ascii="Cambria Math" w:hAnsi="Cambria Math" w:cs="Calibri"/>
                          <w:szCs w:val="21"/>
                        </w:rPr>
                      </m:ctrlPr>
                    </m:sSubPr>
                    <m:e>
                      <m:r>
                        <m:rPr>
                          <m:sty m:val="p"/>
                        </m:rPr>
                        <w:rPr>
                          <w:rFonts w:ascii="Cambria Math" w:hAnsi="Cambria Math" w:cs="Calibri"/>
                          <w:szCs w:val="21"/>
                        </w:rPr>
                        <m:t>X</m:t>
                      </m:r>
                    </m:e>
                    <m:sub>
                      <m:r>
                        <m:rPr>
                          <m:sty m:val="p"/>
                        </m:rPr>
                        <w:rPr>
                          <w:rFonts w:ascii="Cambria Math" w:hAnsi="Cambria Math" w:cs="Calibri"/>
                          <w:szCs w:val="21"/>
                        </w:rPr>
                        <m:t>ij</m:t>
                      </m:r>
                    </m:sub>
                  </m:sSub>
                </m:e>
              </m:d>
            </m:num>
            <m:den>
              <m:r>
                <w:rPr>
                  <w:rFonts w:ascii="Cambria Math" w:hAnsi="Cambria Math" w:cs="Calibri"/>
                  <w:szCs w:val="21"/>
                </w:rPr>
                <m:t>max</m:t>
              </m:r>
              <m:d>
                <m:dPr>
                  <m:ctrlPr>
                    <w:rPr>
                      <w:rFonts w:ascii="Cambria Math" w:hAnsi="Cambria Math" w:cs="Calibri"/>
                      <w:szCs w:val="21"/>
                    </w:rPr>
                  </m:ctrlPr>
                </m:dPr>
                <m:e>
                  <m:sSub>
                    <m:sSubPr>
                      <m:ctrlPr>
                        <w:rPr>
                          <w:rFonts w:ascii="Cambria Math" w:hAnsi="Cambria Math" w:cs="Calibri"/>
                          <w:szCs w:val="21"/>
                        </w:rPr>
                      </m:ctrlPr>
                    </m:sSubPr>
                    <m:e>
                      <m:r>
                        <m:rPr>
                          <m:sty m:val="p"/>
                        </m:rPr>
                        <w:rPr>
                          <w:rFonts w:ascii="Cambria Math" w:hAnsi="Cambria Math" w:cs="Calibri"/>
                          <w:szCs w:val="21"/>
                        </w:rPr>
                        <m:t>X</m:t>
                      </m:r>
                    </m:e>
                    <m:sub>
                      <m:r>
                        <m:rPr>
                          <m:sty m:val="p"/>
                        </m:rPr>
                        <w:rPr>
                          <w:rFonts w:ascii="Cambria Math" w:hAnsi="Cambria Math" w:cs="Calibri"/>
                          <w:szCs w:val="21"/>
                        </w:rPr>
                        <m:t>ij</m:t>
                      </m:r>
                    </m:sub>
                  </m:sSub>
                </m:e>
              </m:d>
              <m:r>
                <w:rPr>
                  <w:rFonts w:ascii="Cambria Math" w:hAnsi="Cambria Math" w:cs="Calibri"/>
                  <w:szCs w:val="21"/>
                </w:rPr>
                <m:t>-min</m:t>
              </m:r>
              <m:d>
                <m:dPr>
                  <m:ctrlPr>
                    <w:rPr>
                      <w:rFonts w:ascii="Cambria Math" w:hAnsi="Cambria Math" w:cs="Calibri"/>
                      <w:szCs w:val="21"/>
                    </w:rPr>
                  </m:ctrlPr>
                </m:dPr>
                <m:e>
                  <m:sSub>
                    <m:sSubPr>
                      <m:ctrlPr>
                        <w:rPr>
                          <w:rFonts w:ascii="Cambria Math" w:hAnsi="Cambria Math" w:cs="Calibri"/>
                          <w:szCs w:val="21"/>
                        </w:rPr>
                      </m:ctrlPr>
                    </m:sSubPr>
                    <m:e>
                      <m:r>
                        <m:rPr>
                          <m:sty m:val="p"/>
                        </m:rPr>
                        <w:rPr>
                          <w:rFonts w:ascii="Cambria Math" w:hAnsi="Cambria Math" w:cs="Calibri"/>
                          <w:szCs w:val="21"/>
                        </w:rPr>
                        <m:t>X</m:t>
                      </m:r>
                    </m:e>
                    <m:sub>
                      <m:r>
                        <m:rPr>
                          <m:sty m:val="p"/>
                        </m:rPr>
                        <w:rPr>
                          <w:rFonts w:ascii="Cambria Math" w:hAnsi="Cambria Math" w:cs="Calibri"/>
                          <w:szCs w:val="21"/>
                        </w:rPr>
                        <m:t>ij</m:t>
                      </m:r>
                    </m:sub>
                  </m:sSub>
                </m:e>
              </m:d>
            </m:den>
          </m:f>
          <m:r>
            <w:rPr>
              <w:rFonts w:ascii="Cambria Math" w:hAnsi="Cambria Math" w:cs="Calibri"/>
              <w:szCs w:val="21"/>
            </w:rPr>
            <m:t>+0.0001</m:t>
          </m:r>
        </m:oMath>
      </m:oMathPara>
    </w:p>
    <w:p w14:paraId="0BE60653" w14:textId="48E68868" w:rsidR="005F07D1" w:rsidRDefault="0045411C" w:rsidP="00C93D4C">
      <w:pPr>
        <w:pStyle w:val="3"/>
        <w:numPr>
          <w:ilvl w:val="0"/>
          <w:numId w:val="16"/>
        </w:numPr>
        <w:rPr>
          <w:lang w:bidi="ar"/>
        </w:rPr>
      </w:pPr>
      <w:r>
        <w:rPr>
          <w:rFonts w:hint="eastAsia"/>
          <w:lang w:bidi="ar"/>
        </w:rPr>
        <w:t>计算第</w:t>
      </w:r>
      <w:r>
        <w:rPr>
          <w:lang w:bidi="ar"/>
        </w:rPr>
        <w:t>j</w:t>
      </w:r>
      <w:r>
        <w:rPr>
          <w:rFonts w:hint="eastAsia"/>
          <w:lang w:bidi="ar"/>
        </w:rPr>
        <w:t>项指标下第</w:t>
      </w:r>
      <w:proofErr w:type="spellStart"/>
      <w:r>
        <w:rPr>
          <w:lang w:bidi="ar"/>
        </w:rPr>
        <w:t>i</w:t>
      </w:r>
      <w:proofErr w:type="spellEnd"/>
      <w:proofErr w:type="gramStart"/>
      <w:r>
        <w:rPr>
          <w:rFonts w:hint="eastAsia"/>
          <w:lang w:bidi="ar"/>
        </w:rPr>
        <w:t>个</w:t>
      </w:r>
      <w:proofErr w:type="gramEnd"/>
      <w:r>
        <w:rPr>
          <w:rFonts w:hint="eastAsia"/>
          <w:lang w:bidi="ar"/>
        </w:rPr>
        <w:t>样本占该指标的比重</w:t>
      </w:r>
    </w:p>
    <w:p w14:paraId="416CC8BB" w14:textId="5CB9845E" w:rsidR="00FA7951" w:rsidRPr="00FA7951" w:rsidRDefault="00FA7951" w:rsidP="00FA7951">
      <w:pPr>
        <w:rPr>
          <w:rFonts w:hint="eastAsia"/>
          <w:lang w:bidi="ar"/>
        </w:rPr>
      </w:pPr>
      <m:oMathPara>
        <m:oMath>
          <m:sSub>
            <m:sSubPr>
              <m:ctrlPr>
                <w:rPr>
                  <w:rFonts w:ascii="Cambria Math" w:hAnsi="Cambria Math"/>
                  <w:lang w:bidi="ar"/>
                </w:rPr>
              </m:ctrlPr>
            </m:sSubPr>
            <m:e>
              <m:r>
                <w:rPr>
                  <w:rFonts w:ascii="Cambria Math" w:hAnsi="Cambria Math"/>
                  <w:lang w:bidi="ar"/>
                </w:rPr>
                <m:t>P</m:t>
              </m:r>
            </m:e>
            <m:sub>
              <m:r>
                <w:rPr>
                  <w:rFonts w:ascii="Cambria Math" w:hAnsi="Cambria Math"/>
                  <w:lang w:bidi="ar"/>
                </w:rPr>
                <m:t>ij</m:t>
              </m:r>
            </m:sub>
          </m:sSub>
          <m:r>
            <w:rPr>
              <w:rFonts w:ascii="Cambria Math" w:hAnsi="Cambria Math"/>
              <w:lang w:bidi="ar"/>
            </w:rPr>
            <m:t>=</m:t>
          </m:r>
          <m:f>
            <m:fPr>
              <m:ctrlPr>
                <w:rPr>
                  <w:rFonts w:ascii="Cambria Math" w:hAnsi="Cambria Math"/>
                  <w:lang w:bidi="ar"/>
                </w:rPr>
              </m:ctrlPr>
            </m:fPr>
            <m:num>
              <m:sSub>
                <m:sSubPr>
                  <m:ctrlPr>
                    <w:rPr>
                      <w:rFonts w:ascii="Cambria Math" w:hAnsi="Cambria Math"/>
                      <w:lang w:bidi="ar"/>
                    </w:rPr>
                  </m:ctrlPr>
                </m:sSubPr>
                <m:e>
                  <m:r>
                    <w:rPr>
                      <w:rFonts w:ascii="Cambria Math" w:hAnsi="Cambria Math"/>
                      <w:lang w:bidi="ar"/>
                    </w:rPr>
                    <m:t>X</m:t>
                  </m:r>
                </m:e>
                <m:sub>
                  <m:r>
                    <w:rPr>
                      <w:rFonts w:ascii="Cambria Math" w:hAnsi="Cambria Math"/>
                      <w:lang w:bidi="ar"/>
                    </w:rPr>
                    <m:t>ij</m:t>
                  </m:r>
                </m:sub>
              </m:sSub>
            </m:num>
            <m:den>
              <m:nary>
                <m:naryPr>
                  <m:chr m:val="∑"/>
                  <m:limLoc m:val="undOvr"/>
                  <m:grow m:val="1"/>
                  <m:ctrlPr>
                    <w:rPr>
                      <w:rFonts w:ascii="Cambria Math" w:hAnsi="Cambria Math"/>
                      <w:lang w:bidi="ar"/>
                    </w:rPr>
                  </m:ctrlPr>
                </m:naryPr>
                <m:sub>
                  <m:r>
                    <w:rPr>
                      <w:rFonts w:ascii="Cambria Math" w:hAnsi="Cambria Math"/>
                      <w:lang w:bidi="ar"/>
                    </w:rPr>
                    <m:t>i</m:t>
                  </m:r>
                  <m:r>
                    <w:rPr>
                      <w:rFonts w:ascii="Cambria Math" w:hAnsi="Cambria Math"/>
                      <w:lang w:bidi="ar"/>
                    </w:rPr>
                    <m:t>=1</m:t>
                  </m:r>
                </m:sub>
                <m:sup>
                  <m:r>
                    <w:rPr>
                      <w:rFonts w:ascii="Cambria Math" w:hAnsi="Cambria Math"/>
                      <w:lang w:bidi="ar"/>
                    </w:rPr>
                    <m:t>n</m:t>
                  </m:r>
                </m:sup>
                <m:e>
                  <m:r>
                    <w:rPr>
                      <w:rFonts w:ascii="Cambria Math" w:hAnsi="Cambria Math"/>
                      <w:lang w:bidi="ar"/>
                    </w:rPr>
                    <m:t> </m:t>
                  </m:r>
                </m:e>
              </m:nary>
              <m:sSub>
                <m:sSubPr>
                  <m:ctrlPr>
                    <w:rPr>
                      <w:rFonts w:ascii="Cambria Math" w:hAnsi="Cambria Math"/>
                      <w:lang w:bidi="ar"/>
                    </w:rPr>
                  </m:ctrlPr>
                </m:sSubPr>
                <m:e>
                  <m:r>
                    <w:rPr>
                      <w:rFonts w:ascii="Cambria Math" w:hAnsi="Cambria Math"/>
                      <w:lang w:bidi="ar"/>
                    </w:rPr>
                    <m:t>X</m:t>
                  </m:r>
                </m:e>
                <m:sub>
                  <m:r>
                    <w:rPr>
                      <w:rFonts w:ascii="Cambria Math" w:hAnsi="Cambria Math"/>
                      <w:lang w:bidi="ar"/>
                    </w:rPr>
                    <m:t>ij</m:t>
                  </m:r>
                </m:sub>
              </m:sSub>
            </m:den>
          </m:f>
        </m:oMath>
      </m:oMathPara>
    </w:p>
    <w:p w14:paraId="50791691" w14:textId="13024F8C" w:rsidR="005F07D1" w:rsidRDefault="0045411C" w:rsidP="00C93D4C">
      <w:pPr>
        <w:pStyle w:val="3"/>
        <w:numPr>
          <w:ilvl w:val="0"/>
          <w:numId w:val="16"/>
        </w:numPr>
      </w:pPr>
      <w:r>
        <w:rPr>
          <w:rFonts w:hint="eastAsia"/>
          <w:lang w:bidi="ar"/>
        </w:rPr>
        <w:t>计算第</w:t>
      </w:r>
      <w:r>
        <w:rPr>
          <w:lang w:bidi="ar"/>
        </w:rPr>
        <w:t>j</w:t>
      </w:r>
      <w:r>
        <w:rPr>
          <w:rFonts w:hint="eastAsia"/>
          <w:lang w:bidi="ar"/>
        </w:rPr>
        <w:t>项指标的熵值</w:t>
      </w:r>
    </w:p>
    <w:p w14:paraId="7930BE7C" w14:textId="77777777" w:rsidR="00FA7951" w:rsidRDefault="00FA7951" w:rsidP="0045411C">
      <w:pPr>
        <w:rPr>
          <w:lang w:bidi="ar"/>
        </w:rPr>
      </w:pPr>
      <m:oMathPara>
        <m:oMath>
          <m:sSub>
            <m:sSubPr>
              <m:ctrlPr>
                <w:rPr>
                  <w:rFonts w:ascii="Cambria Math" w:hAnsi="Cambria Math"/>
                  <w:lang w:bidi="ar"/>
                </w:rPr>
              </m:ctrlPr>
            </m:sSubPr>
            <m:e>
              <m:r>
                <w:rPr>
                  <w:rFonts w:ascii="Cambria Math" w:hAnsi="Cambria Math"/>
                  <w:lang w:bidi="ar"/>
                </w:rPr>
                <m:t>e</m:t>
              </m:r>
            </m:e>
            <m:sub>
              <m:r>
                <w:rPr>
                  <w:rFonts w:ascii="Cambria Math" w:hAnsi="Cambria Math"/>
                  <w:lang w:bidi="ar"/>
                </w:rPr>
                <m:t>j</m:t>
              </m:r>
            </m:sub>
          </m:sSub>
          <m:r>
            <w:rPr>
              <w:rFonts w:ascii="Cambria Math" w:hAnsi="Cambria Math"/>
              <w:lang w:bidi="ar"/>
            </w:rPr>
            <m:t>=-</m:t>
          </m:r>
          <m:f>
            <m:fPr>
              <m:ctrlPr>
                <w:rPr>
                  <w:rFonts w:ascii="Cambria Math" w:hAnsi="Cambria Math"/>
                  <w:lang w:bidi="ar"/>
                </w:rPr>
              </m:ctrlPr>
            </m:fPr>
            <m:num>
              <m:r>
                <w:rPr>
                  <w:rFonts w:ascii="Cambria Math" w:hAnsi="Cambria Math"/>
                  <w:lang w:bidi="ar"/>
                </w:rPr>
                <m:t>1</m:t>
              </m:r>
            </m:num>
            <m:den>
              <m:r>
                <w:rPr>
                  <w:rFonts w:ascii="Cambria Math" w:hAnsi="Cambria Math"/>
                  <w:lang w:bidi="ar"/>
                </w:rPr>
                <m:t>ln(m)</m:t>
              </m:r>
            </m:den>
          </m:f>
          <m:r>
            <w:rPr>
              <w:rFonts w:ascii="Cambria Math" w:hAnsi="Cambria Math"/>
              <w:lang w:bidi="ar"/>
            </w:rPr>
            <m:t>*</m:t>
          </m:r>
          <m:nary>
            <m:naryPr>
              <m:chr m:val="∑"/>
              <m:limLoc m:val="undOvr"/>
              <m:grow m:val="1"/>
              <m:ctrlPr>
                <w:rPr>
                  <w:rFonts w:ascii="Cambria Math" w:hAnsi="Cambria Math"/>
                  <w:lang w:bidi="ar"/>
                </w:rPr>
              </m:ctrlPr>
            </m:naryPr>
            <m:sub>
              <m:r>
                <w:rPr>
                  <w:rFonts w:ascii="Cambria Math" w:hAnsi="Cambria Math"/>
                  <w:lang w:bidi="ar"/>
                </w:rPr>
                <m:t>i=1</m:t>
              </m:r>
            </m:sub>
            <m:sup>
              <m:r>
                <w:rPr>
                  <w:rFonts w:ascii="Cambria Math" w:hAnsi="Cambria Math"/>
                  <w:lang w:bidi="ar"/>
                </w:rPr>
                <m:t>m</m:t>
              </m:r>
            </m:sup>
            <m:e>
              <m:r>
                <w:rPr>
                  <w:rFonts w:ascii="Cambria Math" w:hAnsi="Cambria Math"/>
                  <w:lang w:bidi="ar"/>
                </w:rPr>
                <m:t> </m:t>
              </m:r>
            </m:e>
          </m:nary>
          <m:d>
            <m:dPr>
              <m:ctrlPr>
                <w:rPr>
                  <w:rFonts w:ascii="Cambria Math" w:hAnsi="Cambria Math"/>
                  <w:lang w:bidi="ar"/>
                </w:rPr>
              </m:ctrlPr>
            </m:dPr>
            <m:e>
              <m:sSub>
                <m:sSubPr>
                  <m:ctrlPr>
                    <w:rPr>
                      <w:rFonts w:ascii="Cambria Math" w:hAnsi="Cambria Math"/>
                      <w:lang w:bidi="ar"/>
                    </w:rPr>
                  </m:ctrlPr>
                </m:sSubPr>
                <m:e>
                  <m:r>
                    <w:rPr>
                      <w:rFonts w:ascii="Cambria Math" w:hAnsi="Cambria Math"/>
                      <w:lang w:bidi="ar"/>
                    </w:rPr>
                    <m:t>P</m:t>
                  </m:r>
                </m:e>
                <m:sub>
                  <m:r>
                    <w:rPr>
                      <w:rFonts w:ascii="Cambria Math" w:hAnsi="Cambria Math"/>
                      <w:lang w:bidi="ar"/>
                    </w:rPr>
                    <m:t>i</m:t>
                  </m:r>
                  <m:r>
                    <w:rPr>
                      <w:rFonts w:ascii="Cambria Math" w:hAnsi="Cambria Math"/>
                      <w:lang w:bidi="ar"/>
                    </w:rPr>
                    <m:t>j</m:t>
                  </m:r>
                </m:sub>
              </m:sSub>
              <m:r>
                <w:rPr>
                  <w:rFonts w:ascii="Cambria Math" w:hAnsi="Cambria Math"/>
                  <w:lang w:bidi="ar"/>
                </w:rPr>
                <m:t>*ln(</m:t>
              </m:r>
              <m:sSub>
                <m:sSubPr>
                  <m:ctrlPr>
                    <w:rPr>
                      <w:rFonts w:ascii="Cambria Math" w:hAnsi="Cambria Math"/>
                      <w:lang w:bidi="ar"/>
                    </w:rPr>
                  </m:ctrlPr>
                </m:sSubPr>
                <m:e>
                  <m:r>
                    <w:rPr>
                      <w:rFonts w:ascii="Cambria Math" w:hAnsi="Cambria Math"/>
                      <w:lang w:bidi="ar"/>
                    </w:rPr>
                    <m:t>P</m:t>
                  </m:r>
                </m:e>
                <m:sub>
                  <m:r>
                    <w:rPr>
                      <w:rFonts w:ascii="Cambria Math" w:hAnsi="Cambria Math"/>
                      <w:lang w:bidi="ar"/>
                    </w:rPr>
                    <m:t>i</m:t>
                  </m:r>
                  <m:r>
                    <w:rPr>
                      <w:rFonts w:ascii="Cambria Math" w:hAnsi="Cambria Math"/>
                      <w:lang w:bidi="ar"/>
                    </w:rPr>
                    <m:t>j</m:t>
                  </m:r>
                </m:sub>
              </m:sSub>
              <m:r>
                <w:rPr>
                  <w:rFonts w:ascii="Cambria Math" w:hAnsi="Cambria Math"/>
                  <w:lang w:bidi="ar"/>
                </w:rPr>
                <m:t>)</m:t>
              </m:r>
            </m:e>
          </m:d>
        </m:oMath>
      </m:oMathPara>
    </w:p>
    <w:p w14:paraId="5063A313" w14:textId="433C3E59" w:rsidR="005F07D1" w:rsidRDefault="0045411C" w:rsidP="0045411C">
      <w:pPr>
        <w:rPr>
          <w:rFonts w:ascii="Calibri" w:hAnsi="Calibri"/>
          <w:szCs w:val="21"/>
        </w:rPr>
      </w:pPr>
      <w:r>
        <w:rPr>
          <w:rFonts w:hint="eastAsia"/>
          <w:lang w:bidi="ar"/>
        </w:rPr>
        <w:t>其中，</w:t>
      </w:r>
      <w:r>
        <w:rPr>
          <w:lang w:bidi="ar"/>
        </w:rPr>
        <w:t>m</w:t>
      </w:r>
      <w:r>
        <w:rPr>
          <w:rFonts w:hint="eastAsia"/>
          <w:lang w:bidi="ar"/>
        </w:rPr>
        <w:t>为样本的个数。</w:t>
      </w:r>
    </w:p>
    <w:p w14:paraId="1973E70C" w14:textId="484535A5" w:rsidR="005F07D1" w:rsidRDefault="0045411C" w:rsidP="00C93D4C">
      <w:pPr>
        <w:pStyle w:val="3"/>
        <w:numPr>
          <w:ilvl w:val="0"/>
          <w:numId w:val="16"/>
        </w:numPr>
      </w:pPr>
      <w:r>
        <w:rPr>
          <w:rFonts w:hint="eastAsia"/>
          <w:lang w:bidi="ar"/>
        </w:rPr>
        <w:lastRenderedPageBreak/>
        <w:t>计算第</w:t>
      </w:r>
      <w:r>
        <w:rPr>
          <w:lang w:bidi="ar"/>
        </w:rPr>
        <w:t>j</w:t>
      </w:r>
      <w:r>
        <w:rPr>
          <w:rFonts w:hint="eastAsia"/>
          <w:lang w:bidi="ar"/>
        </w:rPr>
        <w:t>项指标的差异系数</w:t>
      </w:r>
    </w:p>
    <w:p w14:paraId="0E73745B" w14:textId="136C77CA" w:rsidR="005F07D1" w:rsidRDefault="00FA7951" w:rsidP="0045411C">
      <w:pPr>
        <w:rPr>
          <w:rFonts w:ascii="Calibri" w:hAnsi="Calibri"/>
          <w:szCs w:val="21"/>
        </w:rPr>
      </w:pPr>
      <m:oMathPara>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j</m:t>
              </m:r>
            </m:sub>
          </m:sSub>
          <m:r>
            <w:rPr>
              <w:rFonts w:ascii="Cambria Math" w:hAnsi="Cambria Math"/>
              <w:szCs w:val="21"/>
            </w:rPr>
            <m:t>=1-</m:t>
          </m:r>
          <m:sSub>
            <m:sSubPr>
              <m:ctrlPr>
                <w:rPr>
                  <w:rFonts w:ascii="Cambria Math" w:hAnsi="Cambria Math"/>
                  <w:szCs w:val="21"/>
                </w:rPr>
              </m:ctrlPr>
            </m:sSubPr>
            <m:e>
              <m:r>
                <w:rPr>
                  <w:rFonts w:ascii="Cambria Math" w:hAnsi="Cambria Math"/>
                  <w:szCs w:val="21"/>
                </w:rPr>
                <m:t>e</m:t>
              </m:r>
            </m:e>
            <m:sub>
              <m:r>
                <w:rPr>
                  <w:rFonts w:ascii="Cambria Math" w:hAnsi="Cambria Math"/>
                  <w:szCs w:val="21"/>
                </w:rPr>
                <m:t>j</m:t>
              </m:r>
            </m:sub>
          </m:sSub>
        </m:oMath>
      </m:oMathPara>
    </w:p>
    <w:p w14:paraId="7E4374FC" w14:textId="79F79952" w:rsidR="005F07D1" w:rsidRDefault="0045411C" w:rsidP="00FA7951">
      <w:pPr>
        <w:pStyle w:val="3"/>
        <w:numPr>
          <w:ilvl w:val="0"/>
          <w:numId w:val="16"/>
        </w:numPr>
        <w:rPr>
          <w:lang w:bidi="ar"/>
        </w:rPr>
      </w:pPr>
      <w:r>
        <w:rPr>
          <w:rFonts w:hint="eastAsia"/>
          <w:lang w:bidi="ar"/>
        </w:rPr>
        <w:t>计算评价指标权重</w:t>
      </w:r>
    </w:p>
    <w:p w14:paraId="5B0F2557" w14:textId="6C194170" w:rsidR="00FA7951" w:rsidRPr="00FA7951" w:rsidRDefault="00FA7951" w:rsidP="00FA7951">
      <w:pPr>
        <w:rPr>
          <w:rFonts w:hint="eastAsia"/>
          <w:lang w:bidi="ar"/>
        </w:rPr>
      </w:pPr>
      <m:oMathPara>
        <m:oMath>
          <m:sSub>
            <m:sSubPr>
              <m:ctrlPr>
                <w:rPr>
                  <w:rFonts w:ascii="Cambria Math" w:hAnsi="Cambria Math"/>
                  <w:lang w:bidi="ar"/>
                </w:rPr>
              </m:ctrlPr>
            </m:sSubPr>
            <m:e>
              <m:r>
                <w:rPr>
                  <w:rFonts w:ascii="Cambria Math" w:hAnsi="Cambria Math"/>
                  <w:lang w:bidi="ar"/>
                </w:rPr>
                <m:t>w</m:t>
              </m:r>
            </m:e>
            <m:sub>
              <m:r>
                <w:rPr>
                  <w:rFonts w:ascii="Cambria Math" w:hAnsi="Cambria Math"/>
                  <w:lang w:bidi="ar"/>
                </w:rPr>
                <m:t>j</m:t>
              </m:r>
            </m:sub>
          </m:sSub>
          <m:r>
            <w:rPr>
              <w:rFonts w:ascii="Cambria Math" w:hAnsi="Cambria Math"/>
              <w:lang w:bidi="ar"/>
            </w:rPr>
            <m:t>=</m:t>
          </m:r>
          <m:f>
            <m:fPr>
              <m:ctrlPr>
                <w:rPr>
                  <w:rFonts w:ascii="Cambria Math" w:hAnsi="Cambria Math"/>
                  <w:lang w:bidi="ar"/>
                </w:rPr>
              </m:ctrlPr>
            </m:fPr>
            <m:num>
              <m:sSub>
                <m:sSubPr>
                  <m:ctrlPr>
                    <w:rPr>
                      <w:rFonts w:ascii="Cambria Math" w:hAnsi="Cambria Math"/>
                      <w:lang w:bidi="ar"/>
                    </w:rPr>
                  </m:ctrlPr>
                </m:sSubPr>
                <m:e>
                  <m:r>
                    <w:rPr>
                      <w:rFonts w:ascii="Cambria Math" w:hAnsi="Cambria Math"/>
                      <w:lang w:bidi="ar"/>
                    </w:rPr>
                    <m:t>d</m:t>
                  </m:r>
                </m:e>
                <m:sub>
                  <m:r>
                    <w:rPr>
                      <w:rFonts w:ascii="Cambria Math" w:hAnsi="Cambria Math"/>
                      <w:lang w:bidi="ar"/>
                    </w:rPr>
                    <m:t>j</m:t>
                  </m:r>
                </m:sub>
              </m:sSub>
            </m:num>
            <m:den>
              <m:sSubSup>
                <m:sSubSupPr>
                  <m:ctrlPr>
                    <w:rPr>
                      <w:rFonts w:ascii="Cambria Math" w:hAnsi="Cambria Math"/>
                      <w:lang w:bidi="ar"/>
                    </w:rPr>
                  </m:ctrlPr>
                </m:sSubSupPr>
                <m:e>
                  <m:r>
                    <m:rPr>
                      <m:sty m:val="p"/>
                    </m:rPr>
                    <w:rPr>
                      <w:rFonts w:ascii="Cambria Math" w:hAnsi="Cambria Math"/>
                      <w:lang w:bidi="ar"/>
                    </w:rPr>
                    <m:t>Σ</m:t>
                  </m:r>
                </m:e>
                <m:sub>
                  <m:r>
                    <w:rPr>
                      <w:rFonts w:ascii="Cambria Math" w:hAnsi="Cambria Math"/>
                      <w:lang w:bidi="ar"/>
                    </w:rPr>
                    <m:t>j=1</m:t>
                  </m:r>
                </m:sub>
                <m:sup>
                  <m:r>
                    <w:rPr>
                      <w:rFonts w:ascii="Cambria Math" w:hAnsi="Cambria Math"/>
                      <w:lang w:bidi="ar"/>
                    </w:rPr>
                    <m:t>m</m:t>
                  </m:r>
                </m:sup>
              </m:sSubSup>
              <m:sSub>
                <m:sSubPr>
                  <m:ctrlPr>
                    <w:rPr>
                      <w:rFonts w:ascii="Cambria Math" w:hAnsi="Cambria Math"/>
                      <w:lang w:bidi="ar"/>
                    </w:rPr>
                  </m:ctrlPr>
                </m:sSubPr>
                <m:e>
                  <m:r>
                    <w:rPr>
                      <w:rFonts w:ascii="Cambria Math" w:hAnsi="Cambria Math"/>
                      <w:lang w:bidi="ar"/>
                    </w:rPr>
                    <m:t>d</m:t>
                  </m:r>
                </m:e>
                <m:sub>
                  <m:r>
                    <w:rPr>
                      <w:rFonts w:ascii="Cambria Math" w:hAnsi="Cambria Math"/>
                      <w:lang w:bidi="ar"/>
                    </w:rPr>
                    <m:t>j</m:t>
                  </m:r>
                </m:sub>
              </m:sSub>
            </m:den>
          </m:f>
        </m:oMath>
      </m:oMathPara>
    </w:p>
    <w:p w14:paraId="03234B89" w14:textId="27B27316" w:rsidR="005F07D1" w:rsidRDefault="0045411C" w:rsidP="00FA7951">
      <w:pPr>
        <w:pStyle w:val="3"/>
        <w:numPr>
          <w:ilvl w:val="0"/>
          <w:numId w:val="16"/>
        </w:numPr>
        <w:rPr>
          <w:lang w:bidi="ar"/>
        </w:rPr>
      </w:pPr>
      <w:r>
        <w:rPr>
          <w:rFonts w:hint="eastAsia"/>
          <w:lang w:bidi="ar"/>
        </w:rPr>
        <w:t>计算各样本综合得分</w:t>
      </w:r>
    </w:p>
    <w:p w14:paraId="7204C078" w14:textId="5519A3C8" w:rsidR="00FA7951" w:rsidRPr="00FA7951" w:rsidRDefault="00FA7951" w:rsidP="00FA7951">
      <w:pPr>
        <w:rPr>
          <w:rFonts w:hint="eastAsia"/>
          <w:lang w:bidi="ar"/>
        </w:rPr>
      </w:pPr>
      <m:oMathPara>
        <m:oMath>
          <m:sSub>
            <m:sSubPr>
              <m:ctrlPr>
                <w:rPr>
                  <w:rFonts w:ascii="Cambria Math" w:hAnsi="Cambria Math"/>
                  <w:lang w:bidi="ar"/>
                </w:rPr>
              </m:ctrlPr>
            </m:sSubPr>
            <m:e>
              <m:r>
                <w:rPr>
                  <w:rFonts w:ascii="Cambria Math" w:hAnsi="Cambria Math"/>
                  <w:lang w:bidi="ar"/>
                </w:rPr>
                <m:t>z</m:t>
              </m:r>
            </m:e>
            <m:sub>
              <m:r>
                <w:rPr>
                  <w:rFonts w:ascii="Cambria Math" w:hAnsi="Cambria Math"/>
                  <w:lang w:bidi="ar"/>
                </w:rPr>
                <m:t>i</m:t>
              </m:r>
            </m:sub>
          </m:sSub>
          <m:r>
            <w:rPr>
              <w:rFonts w:ascii="Cambria Math" w:hAnsi="Cambria Math"/>
              <w:lang w:bidi="ar"/>
            </w:rPr>
            <m:t>=</m:t>
          </m:r>
          <m:nary>
            <m:naryPr>
              <m:chr m:val="∑"/>
              <m:limLoc m:val="undOvr"/>
              <m:grow m:val="1"/>
              <m:ctrlPr>
                <w:rPr>
                  <w:rFonts w:ascii="Cambria Math" w:hAnsi="Cambria Math"/>
                  <w:lang w:bidi="ar"/>
                </w:rPr>
              </m:ctrlPr>
            </m:naryPr>
            <m:sub>
              <m:r>
                <w:rPr>
                  <w:rFonts w:ascii="Cambria Math" w:hAnsi="Cambria Math"/>
                  <w:lang w:bidi="ar"/>
                </w:rPr>
                <m:t>j=1</m:t>
              </m:r>
            </m:sub>
            <m:sup>
              <m:r>
                <w:rPr>
                  <w:rFonts w:ascii="Cambria Math" w:hAnsi="Cambria Math"/>
                  <w:lang w:bidi="ar"/>
                </w:rPr>
                <m:t>m</m:t>
              </m:r>
            </m:sup>
            <m:e>
              <m:r>
                <w:rPr>
                  <w:rFonts w:ascii="Cambria Math" w:hAnsi="Cambria Math"/>
                  <w:lang w:bidi="ar"/>
                </w:rPr>
                <m:t> </m:t>
              </m:r>
            </m:e>
          </m:nary>
          <m:sSub>
            <m:sSubPr>
              <m:ctrlPr>
                <w:rPr>
                  <w:rFonts w:ascii="Cambria Math" w:hAnsi="Cambria Math"/>
                  <w:lang w:bidi="ar"/>
                </w:rPr>
              </m:ctrlPr>
            </m:sSubPr>
            <m:e>
              <m:r>
                <w:rPr>
                  <w:rFonts w:ascii="Cambria Math" w:hAnsi="Cambria Math"/>
                  <w:lang w:bidi="ar"/>
                </w:rPr>
                <m:t>w</m:t>
              </m:r>
            </m:e>
            <m:sub>
              <m:r>
                <w:rPr>
                  <w:rFonts w:ascii="Cambria Math" w:hAnsi="Cambria Math"/>
                  <w:lang w:bidi="ar"/>
                </w:rPr>
                <m:t>j</m:t>
              </m:r>
            </m:sub>
          </m:sSub>
          <m:sSub>
            <m:sSubPr>
              <m:ctrlPr>
                <w:rPr>
                  <w:rFonts w:ascii="Cambria Math" w:hAnsi="Cambria Math"/>
                  <w:lang w:bidi="ar"/>
                </w:rPr>
              </m:ctrlPr>
            </m:sSubPr>
            <m:e>
              <m:r>
                <w:rPr>
                  <w:rFonts w:ascii="Cambria Math" w:hAnsi="Cambria Math"/>
                  <w:lang w:bidi="ar"/>
                </w:rPr>
                <m:t>x</m:t>
              </m:r>
            </m:e>
            <m:sub>
              <m:r>
                <w:rPr>
                  <w:rFonts w:ascii="Cambria Math" w:hAnsi="Cambria Math"/>
                  <w:lang w:bidi="ar"/>
                </w:rPr>
                <m:t>ij</m:t>
              </m:r>
            </m:sub>
          </m:sSub>
        </m:oMath>
      </m:oMathPara>
    </w:p>
    <w:p w14:paraId="5EDD161C" w14:textId="77777777" w:rsidR="005F07D1" w:rsidRDefault="00000000" w:rsidP="0045411C">
      <w:pPr>
        <w:rPr>
          <w:rFonts w:ascii="宋体" w:hAnsi="宋体"/>
        </w:rPr>
      </w:pPr>
      <w:r>
        <w:rPr>
          <w:rFonts w:hint="eastAsia"/>
        </w:rPr>
        <w:t>在经过以上</w:t>
      </w:r>
      <w:r>
        <w:t>步骤</w:t>
      </w:r>
      <w:r>
        <w:rPr>
          <w:rFonts w:hint="eastAsia"/>
        </w:rPr>
        <w:t>处理后</w:t>
      </w:r>
      <w:r>
        <w:t>，</w:t>
      </w:r>
      <w:r>
        <w:rPr>
          <w:rFonts w:hint="eastAsia"/>
        </w:rPr>
        <w:t>即可</w:t>
      </w:r>
      <w:r>
        <w:t>得到</w:t>
      </w:r>
      <w:r>
        <w:rPr>
          <w:rFonts w:hint="eastAsia"/>
        </w:rPr>
        <w:t>我国长江经济带九省二市</w:t>
      </w:r>
      <w:r>
        <w:t>201</w:t>
      </w:r>
      <w:r>
        <w:rPr>
          <w:rFonts w:hint="eastAsia"/>
        </w:rPr>
        <w:t>0</w:t>
      </w:r>
      <w:r>
        <w:t>—202</w:t>
      </w:r>
      <w:r>
        <w:rPr>
          <w:rFonts w:hint="eastAsia"/>
        </w:rPr>
        <w:t>0</w:t>
      </w:r>
      <w:r>
        <w:t>年的</w:t>
      </w:r>
      <w:r>
        <w:rPr>
          <w:rFonts w:hint="eastAsia"/>
        </w:rPr>
        <w:t>绿色金融</w:t>
      </w:r>
      <w:r>
        <w:t>发展情况</w:t>
      </w:r>
      <w:r>
        <w:rPr>
          <w:rFonts w:hint="eastAsia"/>
        </w:rPr>
        <w:t>。</w:t>
      </w:r>
    </w:p>
    <w:p w14:paraId="62A62BBA" w14:textId="2286C196" w:rsidR="005F07D1" w:rsidRDefault="0045411C" w:rsidP="0045411C">
      <w:pPr>
        <w:pStyle w:val="2"/>
        <w:ind w:firstLine="482"/>
      </w:pPr>
      <w:r>
        <w:rPr>
          <w:rFonts w:hint="eastAsia"/>
        </w:rPr>
        <w:t>（五）数据来源与说明</w:t>
      </w:r>
    </w:p>
    <w:p w14:paraId="1BE86C91" w14:textId="77777777" w:rsidR="005F07D1" w:rsidRDefault="00000000" w:rsidP="0045411C">
      <w:bookmarkStart w:id="0" w:name="_Hlk152707247"/>
      <w:r>
        <w:rPr>
          <w:rFonts w:hint="eastAsia"/>
        </w:rPr>
        <w:t>基于数据的可获得性和完整性，本文样本对象选择处于能源消费结构转型升级期、绿色金融体系渐趋完备的长江经济带区域，即九省两市（安徽省、贵州省、湖北省、湖南省、江苏省、江西省、四川省、云南省、浙江省、上海市以及重庆市）</w:t>
      </w:r>
      <w:bookmarkEnd w:id="0"/>
      <w:r>
        <w:rPr>
          <w:rFonts w:hint="eastAsia"/>
        </w:rPr>
        <w:t>，选取变量时间窗口为</w:t>
      </w:r>
      <w:r>
        <w:rPr>
          <w:rFonts w:hint="eastAsia"/>
        </w:rPr>
        <w:t>2010</w:t>
      </w:r>
      <w:r>
        <w:rPr>
          <w:rFonts w:hint="eastAsia"/>
        </w:rPr>
        <w:t>—</w:t>
      </w:r>
      <w:r>
        <w:rPr>
          <w:rFonts w:hint="eastAsia"/>
        </w:rPr>
        <w:t>2020</w:t>
      </w:r>
      <w:r>
        <w:rPr>
          <w:rFonts w:hint="eastAsia"/>
        </w:rPr>
        <w:t>年。个别地区和年份的缺失数据通过线性插值加以补充。其中，绿色金融指标的相关数据来源于中国人民银行等权威机构网站、</w:t>
      </w:r>
      <w:r>
        <w:rPr>
          <w:rFonts w:hint="eastAsia"/>
        </w:rPr>
        <w:t>Wind</w:t>
      </w:r>
      <w:r>
        <w:rPr>
          <w:rFonts w:hint="eastAsia"/>
        </w:rPr>
        <w:t>数据库、</w:t>
      </w:r>
      <w:r>
        <w:rPr>
          <w:rFonts w:hint="eastAsia"/>
        </w:rPr>
        <w:t>EPS</w:t>
      </w:r>
      <w:r>
        <w:rPr>
          <w:rFonts w:hint="eastAsia"/>
        </w:rPr>
        <w:t>数据库以及《中国能源统计年鉴》《中国金融年鉴》《中国保险年鉴》等。能源消费结构转型升级的相关原始数据来自</w:t>
      </w:r>
      <w:r>
        <w:rPr>
          <w:rFonts w:hint="eastAsia"/>
        </w:rPr>
        <w:t>EPS</w:t>
      </w:r>
      <w:r>
        <w:rPr>
          <w:rFonts w:hint="eastAsia"/>
        </w:rPr>
        <w:t>数据库、《中国能源统计年鉴》《中国环境统计年鉴》以及长江经济带</w:t>
      </w:r>
      <w:r>
        <w:rPr>
          <w:rFonts w:hint="eastAsia"/>
        </w:rPr>
        <w:t>11</w:t>
      </w:r>
      <w:r>
        <w:rPr>
          <w:rFonts w:hint="eastAsia"/>
        </w:rPr>
        <w:t>省市统计年鉴。其他数据来源于</w:t>
      </w:r>
      <w:r>
        <w:rPr>
          <w:rFonts w:hint="eastAsia"/>
        </w:rPr>
        <w:t>EPS</w:t>
      </w:r>
      <w:r>
        <w:rPr>
          <w:rFonts w:hint="eastAsia"/>
        </w:rPr>
        <w:t>数据库、</w:t>
      </w:r>
      <w:r>
        <w:rPr>
          <w:rFonts w:hint="eastAsia"/>
        </w:rPr>
        <w:t>CSMAR</w:t>
      </w:r>
      <w:r>
        <w:rPr>
          <w:rFonts w:hint="eastAsia"/>
        </w:rPr>
        <w:t>数据库、《中国统计年鉴》以及《中国工业统计年鉴》等。</w:t>
      </w:r>
    </w:p>
    <w:p w14:paraId="3E99C307" w14:textId="394DBBA3" w:rsidR="005F07D1" w:rsidRDefault="0045411C" w:rsidP="0045411C">
      <w:pPr>
        <w:pStyle w:val="1"/>
      </w:pPr>
      <w:r>
        <w:rPr>
          <w:rFonts w:hint="eastAsia"/>
        </w:rPr>
        <w:t>五、实证研究设计</w:t>
      </w:r>
    </w:p>
    <w:p w14:paraId="2BDBC0E8" w14:textId="2791E9E7" w:rsidR="005F07D1" w:rsidRDefault="0045411C" w:rsidP="0045411C">
      <w:pPr>
        <w:pStyle w:val="2"/>
        <w:ind w:firstLine="482"/>
      </w:pPr>
      <w:r>
        <w:rPr>
          <w:rFonts w:hint="eastAsia"/>
        </w:rPr>
        <w:t>（一）模型构建</w:t>
      </w:r>
    </w:p>
    <w:p w14:paraId="28844432" w14:textId="77777777" w:rsidR="005F07D1" w:rsidRDefault="00000000" w:rsidP="0045411C">
      <w:r>
        <w:rPr>
          <w:rFonts w:hint="eastAsia"/>
        </w:rPr>
        <w:t>为了探究绿色金融对能源消费结构转型升级的影响机制，证实本文的假设，本文参考了大量的文献资料，结合现有研究成果，构建如下基准回归模型：</w:t>
      </w:r>
    </w:p>
    <w:p w14:paraId="753909AD" w14:textId="04111E2C" w:rsidR="005F07D1" w:rsidRPr="00766D03" w:rsidRDefault="00766D03" w:rsidP="00766D03">
      <w:pPr>
        <w:jc w:val="right"/>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Σcontro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it</m:t>
            </m:r>
          </m:sub>
        </m:sSub>
      </m:oMath>
      <w:r w:rsidR="00000000">
        <w:rPr>
          <w:rFonts w:ascii="宋体" w:hAnsi="宋体" w:hint="eastAsia"/>
        </w:rPr>
        <w:t xml:space="preserve">  </w:t>
      </w:r>
      <w:r>
        <w:rPr>
          <w:rFonts w:ascii="宋体" w:hAnsi="宋体"/>
        </w:rPr>
        <w:t xml:space="preserve">         </w:t>
      </w:r>
      <w:r w:rsidR="00000000">
        <w:rPr>
          <w:rFonts w:ascii="宋体" w:hAnsi="宋体" w:hint="eastAsia"/>
        </w:rPr>
        <w:t xml:space="preserve"> </w:t>
      </w:r>
      <w:r w:rsidR="0045411C">
        <w:rPr>
          <w:rFonts w:ascii="宋体" w:hAnsi="宋体" w:hint="eastAsia"/>
        </w:rPr>
        <w:t>(</w:t>
      </w:r>
      <w:r w:rsidR="0045411C">
        <w:rPr>
          <w:rFonts w:ascii="宋体" w:hAnsi="宋体"/>
        </w:rPr>
        <w:t>1)</w:t>
      </w:r>
    </w:p>
    <w:p w14:paraId="2835380C" w14:textId="00892997" w:rsidR="005F07D1" w:rsidRDefault="00000000" w:rsidP="0045411C">
      <w:r>
        <w:rPr>
          <w:rFonts w:hint="eastAsia"/>
        </w:rPr>
        <w:t>其中，</w:t>
      </w:r>
      <w:bookmarkStart w:id="1" w:name="_Hlk152549203"/>
      <m:oMath>
        <m:sSub>
          <m:sSubPr>
            <m:ctrlPr>
              <w:rPr>
                <w:rFonts w:ascii="Cambria Math" w:hAnsi="Cambria Math"/>
              </w:rPr>
            </m:ctrlPr>
          </m:sSubPr>
          <m:e>
            <m:r>
              <m:rPr>
                <m:sty m:val="p"/>
              </m:rPr>
              <w:rPr>
                <w:rFonts w:ascii="Cambria Math" w:hAnsi="Cambria Math"/>
              </w:rPr>
              <m:t>ES</m:t>
            </m:r>
          </m:e>
          <m:sub>
            <m:r>
              <m:rPr>
                <m:sty m:val="p"/>
              </m:rPr>
              <w:rPr>
                <w:rFonts w:ascii="Cambria Math" w:hAnsi="Cambria Math"/>
              </w:rPr>
              <m:t>it</m:t>
            </m:r>
          </m:sub>
        </m:sSub>
      </m:oMath>
      <w:r>
        <w:rPr>
          <w:rFonts w:hint="eastAsia"/>
        </w:rPr>
        <w:t>表示能源消费结构，</w:t>
      </w:r>
      <m:oMath>
        <m:sSub>
          <m:sSubPr>
            <m:ctrlPr>
              <w:rPr>
                <w:rFonts w:ascii="Cambria Math" w:hAnsi="Cambria Math"/>
                <w:iCs/>
              </w:rPr>
            </m:ctrlPr>
          </m:sSubPr>
          <m:e>
            <m:r>
              <m:rPr>
                <m:sty m:val="p"/>
              </m:rPr>
              <w:rPr>
                <w:rFonts w:ascii="Cambria Math" w:hAnsi="Cambria Math"/>
              </w:rPr>
              <m:t>GF</m:t>
            </m:r>
          </m:e>
          <m:sub>
            <m:r>
              <m:rPr>
                <m:sty m:val="p"/>
              </m:rPr>
              <w:rPr>
                <w:rFonts w:ascii="Cambria Math" w:hAnsi="Cambria Math"/>
              </w:rPr>
              <m:t>it</m:t>
            </m:r>
          </m:sub>
        </m:sSub>
      </m:oMath>
      <w:r>
        <w:rPr>
          <w:rFonts w:hint="eastAsia"/>
        </w:rPr>
        <w:t>代表绿色金融指数，</w:t>
      </w:r>
      <m:oMath>
        <m:sSub>
          <m:sSubPr>
            <m:ctrlPr>
              <w:rPr>
                <w:rFonts w:ascii="Cambria Math" w:hAnsi="Cambria Math"/>
              </w:rPr>
            </m:ctrlPr>
          </m:sSubPr>
          <m:e>
            <m:r>
              <m:rPr>
                <m:sty m:val="p"/>
              </m:rPr>
              <w:rPr>
                <w:rFonts w:ascii="Cambria Math" w:hAnsi="Cambria Math"/>
              </w:rPr>
              <m:t>control</m:t>
            </m:r>
          </m:e>
          <m:sub>
            <m:r>
              <m:rPr>
                <m:sty m:val="p"/>
              </m:rPr>
              <w:rPr>
                <w:rFonts w:ascii="Cambria Math" w:hAnsi="Cambria Math"/>
              </w:rPr>
              <m:t>it</m:t>
            </m:r>
          </m:sub>
        </m:sSub>
      </m:oMath>
      <w:r>
        <w:rPr>
          <w:rFonts w:hint="eastAsia"/>
        </w:rPr>
        <w:t>为</w:t>
      </w:r>
      <w:bookmarkEnd w:id="1"/>
      <w:r>
        <w:rPr>
          <w:rFonts w:hint="eastAsia"/>
        </w:rPr>
        <w:t>所构建模型中的多个控制变量，包括能源价格、对外开放程度、经济规模和环境规制强度。</w:t>
      </w:r>
      <w:bookmarkStart w:id="2" w:name="_Hlk152549347"/>
      <m:oMath>
        <m:sSub>
          <m:sSubPr>
            <m:ctrlPr>
              <w:rPr>
                <w:rFonts w:ascii="Cambria Math" w:hAnsi="Cambria Math"/>
              </w:rPr>
            </m:ctrlPr>
          </m:sSubPr>
          <m:e>
            <m:r>
              <w:rPr>
                <w:rFonts w:ascii="Cambria Math" w:hAnsi="Cambria Math"/>
              </w:rPr>
              <m:t>λ</m:t>
            </m:r>
          </m:e>
          <m:sub>
            <m:r>
              <m:rPr>
                <m:sty m:val="p"/>
              </m:rPr>
              <w:rPr>
                <w:rFonts w:ascii="Cambria Math" w:hAnsi="Cambria Math"/>
              </w:rPr>
              <m:t>t</m:t>
            </m:r>
          </m:sub>
        </m:sSub>
      </m:oMath>
      <w:r>
        <w:rPr>
          <w:rFonts w:hint="eastAsia"/>
        </w:rPr>
        <w:t>代表地区固定效应，</w:t>
      </w:r>
      <m:oMath>
        <m:sSub>
          <m:sSubPr>
            <m:ctrlPr>
              <w:rPr>
                <w:rFonts w:ascii="Cambria Math" w:hAnsi="Cambria Math"/>
              </w:rPr>
            </m:ctrlPr>
          </m:sSubPr>
          <m:e>
            <m:r>
              <w:rPr>
                <w:rFonts w:ascii="Cambria Math" w:hAnsi="Cambria Math"/>
              </w:rPr>
              <m:t>ε</m:t>
            </m:r>
          </m:e>
          <m:sub>
            <m:r>
              <m:rPr>
                <m:sty m:val="p"/>
              </m:rPr>
              <w:rPr>
                <w:rFonts w:ascii="Cambria Math" w:hAnsi="Cambria Math"/>
              </w:rPr>
              <m:t>i</m:t>
            </m:r>
          </m:sub>
        </m:sSub>
      </m:oMath>
      <w:r>
        <w:rPr>
          <w:rFonts w:hint="eastAsia"/>
        </w:rPr>
        <w:t>代表时间固定效应，</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it</m:t>
            </m:r>
          </m:sub>
        </m:sSub>
      </m:oMath>
      <w:r>
        <w:rPr>
          <w:rFonts w:hint="eastAsia"/>
        </w:rPr>
        <w:t>为随机扰动项</w:t>
      </w:r>
      <w:bookmarkEnd w:id="2"/>
      <w:r>
        <w:rPr>
          <w:rFonts w:hint="eastAsia"/>
        </w:rPr>
        <w:t>，下标</w:t>
      </w:r>
      <w:proofErr w:type="spellStart"/>
      <w:r>
        <w:rPr>
          <w:rFonts w:hint="eastAsia"/>
        </w:rPr>
        <w:t>i</w:t>
      </w:r>
      <w:proofErr w:type="spellEnd"/>
      <w:r>
        <w:rPr>
          <w:rFonts w:hint="eastAsia"/>
        </w:rPr>
        <w:t>表示省份，</w:t>
      </w:r>
      <w:r>
        <w:rPr>
          <w:rFonts w:hint="eastAsia"/>
        </w:rPr>
        <w:t>t</w:t>
      </w:r>
      <w:r>
        <w:rPr>
          <w:rFonts w:hint="eastAsia"/>
        </w:rPr>
        <w:t>表示年份。本文研究重点为</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hint="eastAsia"/>
        </w:rPr>
        <w:t>，通过研究</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hint="eastAsia"/>
        </w:rPr>
        <w:t>来探究绿色金融对能源消费结构转型升级的作用效果。若该式中</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hint="eastAsia"/>
        </w:rPr>
        <w:t>显著为负，则研究假说</w:t>
      </w:r>
      <w:r>
        <w:rPr>
          <w:rFonts w:hint="eastAsia"/>
        </w:rPr>
        <w:t>H1</w:t>
      </w:r>
      <w:r>
        <w:rPr>
          <w:rFonts w:hint="eastAsia"/>
        </w:rPr>
        <w:t>得到证实，即绿色金融对能源消费结构的转型升级具有积极的促进作用。</w:t>
      </w:r>
    </w:p>
    <w:p w14:paraId="1CB3E420" w14:textId="77777777" w:rsidR="005F07D1" w:rsidRDefault="00000000" w:rsidP="0045411C">
      <w:r>
        <w:rPr>
          <w:rFonts w:hint="eastAsia"/>
        </w:rPr>
        <w:t>本文参照温忠麟和叶宝娟（</w:t>
      </w:r>
      <w:r>
        <w:rPr>
          <w:rFonts w:hint="eastAsia"/>
        </w:rPr>
        <w:t>2014</w:t>
      </w:r>
      <w:r>
        <w:rPr>
          <w:rFonts w:hint="eastAsia"/>
        </w:rPr>
        <w:t>）的研究方法，探究绿色金融对能源消费结</w:t>
      </w:r>
      <w:r>
        <w:rPr>
          <w:rFonts w:hint="eastAsia"/>
        </w:rPr>
        <w:lastRenderedPageBreak/>
        <w:t>构转型升级的影响机制。本文将技术创新作为绿色金融推动能源消费结构转型升级的中介变量，借助中介效应模型进行检验。为了验证假说</w:t>
      </w:r>
      <w:r>
        <w:rPr>
          <w:rFonts w:hint="eastAsia"/>
        </w:rPr>
        <w:t>H3</w:t>
      </w:r>
      <w:r>
        <w:rPr>
          <w:rFonts w:hint="eastAsia"/>
        </w:rPr>
        <w:t>，构建模型如下：</w:t>
      </w:r>
    </w:p>
    <w:p w14:paraId="3C436935" w14:textId="4875C403" w:rsidR="005F07D1" w:rsidRDefault="00AB601D" w:rsidP="0045411C">
      <w:pPr>
        <w:jc w:val="right"/>
        <w:rPr>
          <w:rFonts w:ascii="宋体" w:hAnsi="宋体"/>
        </w:rPr>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Σcontro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it</m:t>
            </m:r>
          </m:sub>
        </m:sSub>
      </m:oMath>
      <w:r w:rsidR="00000000">
        <w:rPr>
          <w:rFonts w:ascii="宋体" w:hAnsi="宋体" w:hint="eastAsia"/>
        </w:rPr>
        <w:t xml:space="preserve">    </w:t>
      </w:r>
      <w:r>
        <w:rPr>
          <w:rFonts w:ascii="宋体" w:hAnsi="宋体"/>
        </w:rPr>
        <w:t xml:space="preserve">    </w:t>
      </w:r>
      <w:r w:rsidR="00860191">
        <w:rPr>
          <w:rFonts w:ascii="宋体" w:hAnsi="宋体"/>
        </w:rPr>
        <w:t xml:space="preserve"> </w:t>
      </w:r>
      <w:r>
        <w:rPr>
          <w:rFonts w:ascii="宋体" w:hAnsi="宋体"/>
        </w:rPr>
        <w:t xml:space="preserve">  </w:t>
      </w:r>
      <w:r w:rsidR="00000000">
        <w:rPr>
          <w:rFonts w:ascii="宋体" w:hAnsi="宋体" w:hint="eastAsia"/>
        </w:rPr>
        <w:t xml:space="preserve"> </w:t>
      </w:r>
      <w:r w:rsidR="0045411C" w:rsidRPr="0045411C">
        <w:rPr>
          <w:rFonts w:hint="eastAsia"/>
        </w:rPr>
        <w:t>(</w:t>
      </w:r>
      <w:r w:rsidR="0045411C" w:rsidRPr="0045411C">
        <w:t>2)</w:t>
      </w:r>
    </w:p>
    <w:p w14:paraId="0127D7F8" w14:textId="77777777" w:rsidR="005F07D1" w:rsidRDefault="005F07D1" w:rsidP="00860191">
      <w:pPr>
        <w:ind w:firstLineChars="0" w:firstLine="0"/>
        <w:rPr>
          <w:rFonts w:hint="eastAsia"/>
        </w:rPr>
      </w:pPr>
    </w:p>
    <w:p w14:paraId="70950408" w14:textId="68ED7457" w:rsidR="005F07D1" w:rsidRDefault="00AB601D" w:rsidP="0045411C">
      <w:pPr>
        <w:jc w:val="right"/>
        <w:rPr>
          <w:rFonts w:ascii="宋体" w:hAnsi="宋体"/>
        </w:rPr>
      </w:pPr>
      <m:oMath>
        <m:r>
          <m:rPr>
            <m:sty m:val="p"/>
          </m:rPr>
          <w:rPr>
            <w:rFonts w:ascii="Cambria Math" w:hAnsi="Cambria Math"/>
          </w:rPr>
          <m:t>TP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m:rPr>
                <m:sty m:val="p"/>
              </m:rPr>
              <w:rPr>
                <w:rFonts w:ascii="Cambria Math" w:hAnsi="Cambria Math"/>
              </w:rPr>
              <m:t>GF</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Σ</m:t>
        </m:r>
        <m:sSub>
          <m:sSubPr>
            <m:ctrlPr>
              <w:rPr>
                <w:rFonts w:ascii="Cambria Math" w:hAnsi="Cambria Math"/>
              </w:rPr>
            </m:ctrlPr>
          </m:sSubPr>
          <m:e>
            <m:r>
              <m:rPr>
                <m:sty m:val="p"/>
              </m:rPr>
              <w:rPr>
                <w:rFonts w:ascii="Cambria Math" w:hAnsi="Cambria Math"/>
              </w:rPr>
              <m:t>control</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it</m:t>
            </m:r>
          </m:sub>
        </m:sSub>
      </m:oMath>
      <w:r w:rsidR="00000000">
        <w:rPr>
          <w:rFonts w:ascii="宋体" w:hAnsi="宋体" w:hint="eastAsia"/>
        </w:rPr>
        <w:t xml:space="preserve">    </w:t>
      </w:r>
      <w:r w:rsidR="00860191">
        <w:rPr>
          <w:rFonts w:ascii="宋体" w:hAnsi="宋体"/>
        </w:rPr>
        <w:t xml:space="preserve"> </w:t>
      </w:r>
      <w:r w:rsidR="00000000">
        <w:rPr>
          <w:rFonts w:ascii="宋体" w:hAnsi="宋体" w:hint="eastAsia"/>
        </w:rPr>
        <w:t xml:space="preserve">  </w:t>
      </w:r>
      <w:r>
        <w:rPr>
          <w:rFonts w:ascii="宋体" w:hAnsi="宋体"/>
        </w:rPr>
        <w:t xml:space="preserve"> </w:t>
      </w:r>
      <w:r w:rsidR="00000000">
        <w:rPr>
          <w:rFonts w:ascii="宋体" w:hAnsi="宋体" w:hint="eastAsia"/>
        </w:rPr>
        <w:t xml:space="preserve">    </w:t>
      </w:r>
      <w:r w:rsidR="00000000" w:rsidRPr="0045411C">
        <w:rPr>
          <w:rFonts w:hint="eastAsia"/>
        </w:rPr>
        <w:t>(3)</w:t>
      </w:r>
    </w:p>
    <w:p w14:paraId="1FC896ED" w14:textId="77777777" w:rsidR="005F07D1" w:rsidRPr="0045411C" w:rsidRDefault="005F07D1" w:rsidP="0045411C"/>
    <w:p w14:paraId="6D52D664" w14:textId="5F842B1C" w:rsidR="005F07D1" w:rsidRDefault="00860191" w:rsidP="0045411C">
      <w:pPr>
        <w:jc w:val="right"/>
        <w:rPr>
          <w:rFonts w:ascii="宋体" w:hAnsi="宋体"/>
        </w:rPr>
      </w:pPr>
      <m:oMath>
        <m:r>
          <m:rPr>
            <m:sty m:val="p"/>
          </m:rPr>
          <w:rPr>
            <w:rFonts w:ascii="Cambria Math" w:hAnsi="Cambria Math"/>
          </w:rPr>
          <m:t>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m:rPr>
            <m:sty m:val="p"/>
          </m:rPr>
          <w:rPr>
            <w:rFonts w:ascii="Cambria Math" w:hAnsi="Cambria Math"/>
          </w:rPr>
          <m:t>G</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m:rPr>
            <m:sty m:val="p"/>
          </m:rPr>
          <w:rPr>
            <w:rFonts w:ascii="Cambria Math" w:hAnsi="Cambria Math"/>
          </w:rPr>
          <m:t>TP</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m:rPr>
            <m:sty m:val="p"/>
          </m:rPr>
          <w:rPr>
            <w:rFonts w:ascii="Cambria Math" w:hAnsi="Cambria Math"/>
          </w:rPr>
          <m:t>Σcontro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it</m:t>
            </m:r>
          </m:sub>
        </m:sSub>
      </m:oMath>
      <w:r w:rsidR="00000000">
        <w:rPr>
          <w:rFonts w:ascii="宋体" w:hAnsi="宋体" w:hint="eastAsia"/>
        </w:rPr>
        <w:t xml:space="preserve">    </w:t>
      </w:r>
      <w:r>
        <w:rPr>
          <w:rFonts w:ascii="宋体" w:hAnsi="宋体"/>
        </w:rPr>
        <w:t xml:space="preserve">    </w:t>
      </w:r>
      <w:r w:rsidR="0045411C" w:rsidRPr="0045411C">
        <w:t>(4)</w:t>
      </w:r>
    </w:p>
    <w:p w14:paraId="3FF8D067" w14:textId="4BD44C96" w:rsidR="005F07D1" w:rsidRPr="0045411C" w:rsidRDefault="00000000" w:rsidP="0045411C">
      <w:pPr>
        <w:rPr>
          <w:rFonts w:ascii="等线" w:eastAsia="等线" w:hAnsi="等线"/>
        </w:rPr>
      </w:pPr>
      <w:r w:rsidRPr="0045411C">
        <w:rPr>
          <w:rFonts w:hint="eastAsia"/>
        </w:rPr>
        <w:t>式</w:t>
      </w:r>
      <w:r w:rsidR="0045411C">
        <w:rPr>
          <w:rFonts w:hint="eastAsia"/>
        </w:rPr>
        <w:t>(</w:t>
      </w:r>
      <w:r w:rsidRPr="0045411C">
        <w:rPr>
          <w:rFonts w:hint="eastAsia"/>
        </w:rPr>
        <w:t>2</w:t>
      </w:r>
      <w:r w:rsidR="0045411C">
        <w:rPr>
          <w:rFonts w:hint="eastAsia"/>
        </w:rPr>
        <w:t>)(</w:t>
      </w:r>
      <w:r w:rsidR="0045411C">
        <w:t>3)</w:t>
      </w:r>
      <w:r w:rsidR="0045411C">
        <w:rPr>
          <w:rFonts w:hint="eastAsia"/>
        </w:rPr>
        <w:t>(</w:t>
      </w:r>
      <w:r w:rsidR="0045411C">
        <w:t>4)</w:t>
      </w:r>
      <w:r w:rsidRPr="0045411C">
        <w:rPr>
          <w:rFonts w:hint="eastAsia"/>
        </w:rPr>
        <w:t>为中介效应检验程序，其中</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Pr="0045411C">
        <w:rPr>
          <w:rFonts w:hint="eastAsia"/>
        </w:rPr>
        <w:t>和</w:t>
      </w:r>
      <m:oMath>
        <m:sSub>
          <m:sSubPr>
            <m:ctrlPr>
              <w:rPr>
                <w:rFonts w:ascii="Cambria Math" w:hAnsi="Cambria Math"/>
              </w:rPr>
            </m:ctrlPr>
          </m:sSubPr>
          <m:e>
            <m:r>
              <w:rPr>
                <w:rFonts w:ascii="Cambria Math" w:hAnsi="Cambria Math"/>
              </w:rPr>
              <m:t>ε</m:t>
            </m:r>
          </m:e>
          <m:sub>
            <m:r>
              <m:rPr>
                <m:sty m:val="p"/>
              </m:rPr>
              <w:rPr>
                <w:rFonts w:ascii="Cambria Math" w:hAnsi="Cambria Math"/>
              </w:rPr>
              <m:t>i</m:t>
            </m:r>
          </m:sub>
        </m:sSub>
      </m:oMath>
      <w:r w:rsidRPr="0045411C">
        <w:rPr>
          <w:rFonts w:hint="eastAsia"/>
        </w:rPr>
        <w:t>以及</w:t>
      </w:r>
      <m:oMath>
        <m:r>
          <m:rPr>
            <m:sty m:val="p"/>
          </m:rPr>
          <w:rPr>
            <w:rFonts w:ascii="Cambria Math" w:hAnsi="Cambria Math" w:hint="eastAsia"/>
          </w:rPr>
          <m:t>Σ</m:t>
        </m:r>
        <m:sSub>
          <m:sSubPr>
            <m:ctrlPr>
              <w:rPr>
                <w:rFonts w:ascii="Cambria Math" w:hAnsi="Cambria Math"/>
              </w:rPr>
            </m:ctrlPr>
          </m:sSubPr>
          <m:e>
            <m:r>
              <m:rPr>
                <m:sty m:val="p"/>
              </m:rPr>
              <w:rPr>
                <w:rFonts w:ascii="Cambria Math" w:hAnsi="Cambria Math"/>
              </w:rPr>
              <m:t>control</m:t>
            </m:r>
          </m:e>
          <m:sub>
            <m:r>
              <m:rPr>
                <m:sty m:val="p"/>
              </m:rPr>
              <w:rPr>
                <w:rFonts w:ascii="Cambria Math" w:hAnsi="Cambria Math"/>
              </w:rPr>
              <m:t>it</m:t>
            </m:r>
          </m:sub>
        </m:sSub>
      </m:oMath>
      <w:r w:rsidRPr="0045411C">
        <w:rPr>
          <w:rFonts w:hint="eastAsia"/>
        </w:rPr>
        <w:t>代表采用双边固定效应模型，在控制始建于</w:t>
      </w:r>
      <w:proofErr w:type="gramStart"/>
      <w:r w:rsidRPr="0045411C">
        <w:rPr>
          <w:rFonts w:hint="eastAsia"/>
        </w:rPr>
        <w:t>个</w:t>
      </w:r>
      <w:proofErr w:type="gramEnd"/>
      <w:r w:rsidRPr="0045411C">
        <w:rPr>
          <w:rFonts w:hint="eastAsia"/>
        </w:rPr>
        <w:t>体效应的基础上同时控制一系列的控制变量。</w:t>
      </w:r>
      <w:r w:rsidRPr="0045411C">
        <w:rPr>
          <w:rFonts w:hint="eastAsia"/>
        </w:rPr>
        <w:t>RD</w:t>
      </w:r>
      <w:r w:rsidRPr="0045411C">
        <w:rPr>
          <w:rFonts w:hint="eastAsia"/>
        </w:rPr>
        <w:t>代表技术创新。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45411C">
        <w:rPr>
          <w:rFonts w:hint="eastAsia"/>
        </w:rPr>
        <w:t>代表绿色金融发展对技术创新的影响效应，</w:t>
      </w:r>
      <m:oMath>
        <m:sSub>
          <m:sSubPr>
            <m:ctrlPr>
              <w:rPr>
                <w:rFonts w:ascii="Cambria Math" w:hAnsi="Cambria Math"/>
              </w:rPr>
            </m:ctrlPr>
          </m:sSubPr>
          <m:e>
            <m:r>
              <w:rPr>
                <w:rFonts w:ascii="Cambria Math" w:hAnsi="Cambria Math"/>
              </w:rPr>
              <m:t>γ</m:t>
            </m:r>
          </m:e>
          <m:sub>
            <m:r>
              <w:rPr>
                <w:rFonts w:ascii="Cambria Math" w:hAnsi="Cambria Math"/>
              </w:rPr>
              <m:t>2</m:t>
            </m:r>
          </m:sub>
        </m:sSub>
      </m:oMath>
      <w:r w:rsidRPr="0045411C">
        <w:rPr>
          <w:rFonts w:hint="eastAsia"/>
        </w:rPr>
        <w:t>代表技术创新对能源消费结构转型升级的影响效应，</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45411C">
        <w:rPr>
          <w:rFonts w:hint="eastAsia"/>
        </w:rPr>
        <w:t>代表绿色金融发展对能源消费结构转型升级影响的总效应，</w:t>
      </w:r>
      <m:oMath>
        <m:sSub>
          <m:sSubPr>
            <m:ctrlPr>
              <w:rPr>
                <w:rFonts w:ascii="Cambria Math" w:hAnsi="Cambria Math"/>
              </w:rPr>
            </m:ctrlPr>
          </m:sSubPr>
          <m:e>
            <m:r>
              <w:rPr>
                <w:rFonts w:ascii="Cambria Math" w:hAnsi="Cambria Math"/>
              </w:rPr>
              <m:t>γ</m:t>
            </m:r>
          </m:e>
          <m:sub>
            <m:r>
              <w:rPr>
                <w:rFonts w:ascii="Cambria Math" w:hAnsi="Cambria Math"/>
              </w:rPr>
              <m:t>1</m:t>
            </m:r>
          </m:sub>
        </m:sSub>
      </m:oMath>
      <w:r w:rsidRPr="0045411C">
        <w:rPr>
          <w:rFonts w:hint="eastAsia"/>
        </w:rPr>
        <w:t>代表在中介效应下绿色金融发展对能源消费结构转型升级影响的直接效应，系数</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γ</m:t>
            </m:r>
          </m:e>
          <m:sub>
            <m:r>
              <w:rPr>
                <w:rFonts w:ascii="Cambria Math" w:hAnsi="Cambria Math"/>
              </w:rPr>
              <m:t>2</m:t>
            </m:r>
          </m:sub>
        </m:sSub>
      </m:oMath>
      <w:r w:rsidRPr="0045411C">
        <w:rPr>
          <w:rFonts w:hint="eastAsia"/>
        </w:rPr>
        <w:t>代表中介效应。该模型具体流程为：首先检验</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45411C">
        <w:rPr>
          <w:rFonts w:hint="eastAsia"/>
        </w:rPr>
        <w:t>的显著水平，即绿色金融对能源消费结构转型升级的总效应</w:t>
      </w:r>
      <w:r w:rsidRPr="0045411C">
        <w:rPr>
          <w:rFonts w:hint="eastAsia"/>
        </w:rPr>
        <w:t>;</w:t>
      </w:r>
      <w:r w:rsidRPr="0045411C">
        <w:rPr>
          <w:rFonts w:hint="eastAsia"/>
        </w:rPr>
        <w:t>其次检</w:t>
      </w:r>
      <w:r>
        <w:rPr>
          <w:rFonts w:hint="eastAsia"/>
        </w:rPr>
        <w:t>验</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的显著水平，即绿色金融和技术创新的关系</w:t>
      </w:r>
      <w:r>
        <w:rPr>
          <w:rFonts w:hint="eastAsia"/>
        </w:rPr>
        <w:t>;</w:t>
      </w:r>
      <w:r>
        <w:rPr>
          <w:rFonts w:hint="eastAsia"/>
        </w:rPr>
        <w:t>最后控制中介变量技术创新后，检验方程</w:t>
      </w:r>
      <w:r w:rsidR="0045411C">
        <w:rPr>
          <w:rFonts w:hint="eastAsia"/>
        </w:rPr>
        <w:t>(</w:t>
      </w:r>
      <w:r w:rsidR="0045411C">
        <w:t>4)</w:t>
      </w:r>
      <w:r>
        <w:rPr>
          <w:rFonts w:hint="eastAsia"/>
        </w:rPr>
        <w:t>的系数</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和系数</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Pr>
          <w:rFonts w:hint="eastAsia"/>
        </w:rPr>
        <w:t>。当系数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Pr>
          <w:rFonts w:hint="eastAsia"/>
        </w:rPr>
        <w:t>三者均显著时，说明中介效应显著</w:t>
      </w:r>
      <w:r>
        <w:rPr>
          <w:rFonts w:hint="eastAsia"/>
        </w:rPr>
        <w:t>;</w:t>
      </w:r>
      <w:r>
        <w:rPr>
          <w:rFonts w:hint="eastAsia"/>
        </w:rPr>
        <w:t>当在满足以上条件的同时，在方程</w:t>
      </w:r>
      <w:r w:rsidR="0045411C">
        <w:t>(4)</w:t>
      </w:r>
      <w:r>
        <w:rPr>
          <w:rFonts w:hint="eastAsia"/>
        </w:rPr>
        <w:t>中，系数</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不显著，则说明该过程只存在完全中介效应。</w:t>
      </w:r>
    </w:p>
    <w:p w14:paraId="475FD848" w14:textId="03842158" w:rsidR="005F07D1" w:rsidRPr="0045411C" w:rsidRDefault="0045411C" w:rsidP="0045411C">
      <w:pPr>
        <w:pStyle w:val="2"/>
        <w:ind w:firstLine="482"/>
      </w:pPr>
      <w:bookmarkStart w:id="3" w:name="_Hlk152549872"/>
      <w:r w:rsidRPr="0045411C">
        <w:rPr>
          <w:rFonts w:hint="eastAsia"/>
        </w:rPr>
        <w:t>（二）空间模型建立</w:t>
      </w:r>
    </w:p>
    <w:p w14:paraId="42F92C54" w14:textId="1BF09600" w:rsidR="005F07D1" w:rsidRDefault="0045411C" w:rsidP="0045411C">
      <w:pPr>
        <w:pStyle w:val="3"/>
      </w:pPr>
      <w:r>
        <w:rPr>
          <w:rFonts w:hint="eastAsia"/>
        </w:rPr>
        <w:t>1</w:t>
      </w:r>
      <w:r>
        <w:t>.</w:t>
      </w:r>
      <w:r>
        <w:rPr>
          <w:rFonts w:hint="eastAsia"/>
        </w:rPr>
        <w:t>全局自相关模型</w:t>
      </w:r>
    </w:p>
    <w:p w14:paraId="6C267B1D" w14:textId="77777777" w:rsidR="005F07D1" w:rsidRDefault="00000000" w:rsidP="0045411C">
      <w:r>
        <w:rPr>
          <w:rFonts w:hint="eastAsia"/>
        </w:rPr>
        <w:t>绿色金融和能源结构转型升级是否存在空间影响关系，通过需要借助空间相关性的检验，本文借助全局相关分析中最常用的</w:t>
      </w:r>
      <w:bookmarkStart w:id="4" w:name="_Hlk152541603"/>
      <w:r>
        <w:rPr>
          <w:rFonts w:hint="eastAsia"/>
        </w:rPr>
        <w:t>全局莫兰指数（</w:t>
      </w:r>
      <w:r>
        <w:rPr>
          <w:rFonts w:hint="eastAsia"/>
        </w:rPr>
        <w:t>I</w:t>
      </w:r>
      <w:r>
        <w:rPr>
          <w:rFonts w:hint="eastAsia"/>
        </w:rPr>
        <w:t>）</w:t>
      </w:r>
      <w:bookmarkEnd w:id="4"/>
      <w:r>
        <w:rPr>
          <w:rFonts w:hint="eastAsia"/>
        </w:rPr>
        <w:t>，描述所有的空间单元在整个区域上与周边地区的平均关联程度，模型如下所示：</w:t>
      </w:r>
    </w:p>
    <w:p w14:paraId="1B4DF741" w14:textId="77777777" w:rsidR="005F07D1" w:rsidRDefault="00000000" w:rsidP="0045411C">
      <w:pPr>
        <w:rPr>
          <w:rFonts w:ascii="宋体" w:hAnsi="宋体"/>
        </w:rPr>
      </w:pPr>
      <m:oMathPara>
        <m:oMath>
          <m:eqArr>
            <m:eqArrPr>
              <m:ctrlPr>
                <w:rPr>
                  <w:rFonts w:ascii="Cambria Math" w:hAnsi="Cambria Math"/>
                </w:rPr>
              </m:ctrlPr>
            </m:eqArrPr>
            <m:e>
              <m:r>
                <w:rPr>
                  <w:rFonts w:ascii="Cambria Math" w:hAnsi="Cambria Math"/>
                </w:rPr>
                <m:t>I</m:t>
              </m:r>
              <m:r>
                <m:rPr>
                  <m:sty m:val="p"/>
                </m:rPr>
                <w:rPr>
                  <w:rFonts w:ascii="Cambria Math" w:hAnsi="Cambria Math"/>
                </w:rPr>
                <m:t>&amp;=</m:t>
              </m:r>
              <m:f>
                <m:fPr>
                  <m:ctrlPr>
                    <w:rPr>
                      <w:rFonts w:ascii="Cambria Math" w:hAnsi="Cambria Math"/>
                    </w:rPr>
                  </m:ctrlPr>
                </m:fPr>
                <m:num>
                  <w:bookmarkStart w:id="5" w:name="_Hlk152540617"/>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it</m:t>
                      </m:r>
                    </m:sub>
                  </m:sSub>
                  <m:r>
                    <m:rPr>
                      <m:sty m:val="p"/>
                    </m:rPr>
                    <w:rPr>
                      <w:rFonts w:ascii="Cambria Math" w:hAnsi="Cambria Math"/>
                    </w:rPr>
                    <m:t>(</m:t>
                  </m:r>
                  <m:sSub>
                    <m:sSubPr>
                      <m:ctrlPr>
                        <w:rPr>
                          <w:rFonts w:ascii="Cambria Math" w:hAnsi="Cambria Math"/>
                        </w:rPr>
                      </m:ctrlPr>
                    </m:sSubPr>
                    <m:e>
                      <w:bookmarkStart w:id="6" w:name="_Hlk152539772"/>
                      <m:r>
                        <w:rPr>
                          <w:rFonts w:ascii="Cambria Math" w:hAnsi="Cambria Math"/>
                        </w:rPr>
                        <m:t>X</m:t>
                      </m:r>
                    </m:e>
                    <m:sub>
                      <m:r>
                        <w:rPr>
                          <w:rFonts w:ascii="Cambria Math" w:hAnsi="Cambria Math"/>
                        </w:rPr>
                        <m:t>i</m:t>
                      </m:r>
                      <w:bookmarkEnd w:id="6"/>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w:bookmarkStart w:id="7" w:name="_Hlk152539796"/>
                      <m:r>
                        <w:rPr>
                          <w:rFonts w:ascii="Cambria Math" w:hAnsi="Cambria Math"/>
                        </w:rPr>
                        <m:t>X</m:t>
                      </m:r>
                    </m:e>
                    <m:sub>
                      <m:r>
                        <w:rPr>
                          <w:rFonts w:ascii="Cambria Math" w:hAnsi="Cambria Math"/>
                        </w:rPr>
                        <m:t>j</m:t>
                      </m:r>
                      <w:bookmarkEnd w:id="7"/>
                    </m:sub>
                  </m:sSub>
                  <m:r>
                    <m:rPr>
                      <m:sty m:val="p"/>
                    </m:rPr>
                    <w:rPr>
                      <w:rFonts w:ascii="Cambria Math" w:hAnsi="Cambria Math"/>
                    </w:rPr>
                    <m:t>-</m:t>
                  </m:r>
                  <m:acc>
                    <m:accPr>
                      <m:chr m:val="̅"/>
                      <m:ctrlPr>
                        <w:rPr>
                          <w:rFonts w:ascii="Cambria Math" w:hAnsi="Cambria Math"/>
                        </w:rPr>
                      </m:ctrlPr>
                    </m:accPr>
                    <m:e>
                      <w:bookmarkStart w:id="8" w:name="_Hlk152540008"/>
                      <m:r>
                        <w:rPr>
                          <w:rFonts w:ascii="Cambria Math" w:hAnsi="Cambria Math"/>
                        </w:rPr>
                        <m:t>X</m:t>
                      </m:r>
                      <w:bookmarkEnd w:id="8"/>
                    </m:e>
                  </m:acc>
                  <m:r>
                    <m:rPr>
                      <m:sty m:val="p"/>
                    </m:rPr>
                    <w:rPr>
                      <w:rFonts w:ascii="Cambria Math" w:hAnsi="Cambria Math"/>
                    </w:rPr>
                    <m:t>)</m:t>
                  </m:r>
                </m:num>
                <m:den>
                  <w:bookmarkStart w:id="9" w:name="_Hlk152540564"/>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w:bookmarkStart w:id="10" w:name="_Hlk152541003"/>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w:bookmarkStart w:id="11" w:name="_Hlk152540896"/>
                      <m:r>
                        <w:rPr>
                          <w:rFonts w:ascii="Cambria Math" w:hAnsi="Cambria Math"/>
                        </w:rPr>
                        <m:t>W</m:t>
                      </m:r>
                    </m:e>
                    <m:sub>
                      <m:r>
                        <w:rPr>
                          <w:rFonts w:ascii="Cambria Math" w:hAnsi="Cambria Math"/>
                        </w:rPr>
                        <m:t>ij</m:t>
                      </m:r>
                      <w:bookmarkEnd w:id="11"/>
                    </m:sub>
                  </m:sSub>
                  <w:bookmarkEnd w:id="5"/>
                  <w:bookmarkEnd w:id="9"/>
                  <w:bookmarkEnd w:id="10"/>
                </m:den>
              </m:f>
            </m:e>
          </m:eqArr>
        </m:oMath>
      </m:oMathPara>
    </w:p>
    <w:p w14:paraId="19134BDC" w14:textId="77777777" w:rsidR="005F07D1" w:rsidRDefault="00000000" w:rsidP="0045411C">
      <w:r>
        <w:rPr>
          <w:rFonts w:hint="eastAsia"/>
        </w:rPr>
        <w:t>在该式中，</w:t>
      </w:r>
      <w:r>
        <w:rPr>
          <w:rFonts w:hint="eastAsia"/>
        </w:rPr>
        <w:t>n</w:t>
      </w:r>
      <w:r>
        <w:rPr>
          <w:rFonts w:hint="eastAsia"/>
        </w:rPr>
        <w:t>表示空间单位总个数</w:t>
      </w:r>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分别表示第</w:t>
      </w:r>
      <w:proofErr w:type="spellStart"/>
      <w:r>
        <w:rPr>
          <w:rFonts w:hint="eastAsia"/>
        </w:rPr>
        <w:t>i</w:t>
      </w:r>
      <w:proofErr w:type="spellEnd"/>
      <w:proofErr w:type="gramStart"/>
      <w:r>
        <w:rPr>
          <w:rFonts w:hint="eastAsia"/>
        </w:rPr>
        <w:t>个</w:t>
      </w:r>
      <w:proofErr w:type="gramEnd"/>
      <w:r>
        <w:rPr>
          <w:rFonts w:hint="eastAsia"/>
        </w:rPr>
        <w:t>空间单元和第</w:t>
      </w:r>
      <w:r>
        <w:rPr>
          <w:rFonts w:hint="eastAsia"/>
        </w:rPr>
        <w:t>j</w:t>
      </w:r>
      <w:proofErr w:type="gramStart"/>
      <w:r>
        <w:rPr>
          <w:rFonts w:hint="eastAsia"/>
        </w:rPr>
        <w:t>个</w:t>
      </w:r>
      <w:proofErr w:type="gramEnd"/>
      <w:r>
        <w:rPr>
          <w:rFonts w:hint="eastAsia"/>
        </w:rPr>
        <w:t>空间单元的属性值，</w:t>
      </w:r>
      <m:oMath>
        <m:acc>
          <m:accPr>
            <m:chr m:val="̅"/>
            <m:ctrlPr>
              <w:rPr>
                <w:rFonts w:ascii="Cambria Math" w:hAnsi="Cambria Math"/>
              </w:rPr>
            </m:ctrlPr>
          </m:accPr>
          <m:e>
            <m:r>
              <w:rPr>
                <w:rFonts w:ascii="Cambria Math" w:hAnsi="Cambria Math"/>
              </w:rPr>
              <m:t>X</m:t>
            </m:r>
          </m:e>
        </m:acc>
      </m:oMath>
      <w:r>
        <w:rPr>
          <w:rFonts w:hint="eastAsia"/>
        </w:rPr>
        <w:t>为</w:t>
      </w:r>
      <w:r>
        <w:rPr>
          <w:rFonts w:hint="eastAsia"/>
        </w:rPr>
        <w:t>n</w:t>
      </w:r>
      <w:proofErr w:type="gramStart"/>
      <w:r>
        <w:rPr>
          <w:rFonts w:hint="eastAsia"/>
        </w:rPr>
        <w:t>个</w:t>
      </w:r>
      <w:proofErr w:type="gramEnd"/>
      <w:r>
        <w:rPr>
          <w:rFonts w:hint="eastAsia"/>
        </w:rPr>
        <w:t>空间单元样本属性值的平均值，</w:t>
      </w:r>
      <m:oMath>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n</m:t>
            </m:r>
          </m:den>
        </m:f>
      </m:oMath>
      <w:r>
        <w:rPr>
          <w:rFonts w:hint="eastAsia"/>
        </w:rPr>
        <w:t>为样本方差，</w:t>
      </w:r>
      <m:oMath>
        <m:sSub>
          <m:sSubPr>
            <m:ctrlPr>
              <w:rPr>
                <w:rFonts w:ascii="Cambria Math" w:hAnsi="Cambria Math"/>
              </w:rPr>
            </m:ctrlPr>
          </m:sSubPr>
          <m:e>
            <m:r>
              <w:rPr>
                <w:rFonts w:ascii="Cambria Math" w:hAnsi="Cambria Math"/>
              </w:rPr>
              <m:t>W</m:t>
            </m:r>
          </m:e>
          <m:sub>
            <m:r>
              <w:rPr>
                <w:rFonts w:ascii="Cambria Math" w:hAnsi="Cambria Math"/>
              </w:rPr>
              <m:t>ij</m:t>
            </m:r>
          </m:sub>
        </m:sSub>
      </m:oMath>
      <w:r>
        <w:rPr>
          <w:rFonts w:hint="eastAsia"/>
        </w:rPr>
        <w:t>为空间权重值。</w:t>
      </w:r>
      <m:oMath>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ij</m:t>
            </m:r>
          </m:sub>
        </m:sSub>
      </m:oMath>
      <w:r>
        <w:rPr>
          <w:rFonts w:hint="eastAsia"/>
        </w:rPr>
        <w:t>为空间权重之</w:t>
      </w:r>
      <w:proofErr w:type="gramStart"/>
      <w:r>
        <w:rPr>
          <w:rFonts w:hint="eastAsia"/>
        </w:rPr>
        <w:t>和</w:t>
      </w:r>
      <w:proofErr w:type="gramEnd"/>
      <w:r>
        <w:rPr>
          <w:rFonts w:hint="eastAsia"/>
        </w:rPr>
        <w:t>。此外，</w:t>
      </w:r>
      <w:r>
        <w:rPr>
          <w:rFonts w:hint="eastAsia"/>
        </w:rPr>
        <w:t>I</w:t>
      </w:r>
      <w:r>
        <w:rPr>
          <w:rFonts w:hint="eastAsia"/>
        </w:rPr>
        <w:t>的取值范围为</w:t>
      </w:r>
      <w:r>
        <w:rPr>
          <w:rFonts w:hint="eastAsia"/>
        </w:rPr>
        <w:t>[-1,1]</w:t>
      </w:r>
      <w:r>
        <w:rPr>
          <w:rFonts w:hint="eastAsia"/>
        </w:rPr>
        <w:t>，当全局莫兰指数（</w:t>
      </w:r>
      <w:r>
        <w:rPr>
          <w:rFonts w:hint="eastAsia"/>
        </w:rPr>
        <w:t>I</w:t>
      </w:r>
      <w:r>
        <w:rPr>
          <w:rFonts w:hint="eastAsia"/>
        </w:rPr>
        <w:t>）在</w:t>
      </w:r>
      <w:r>
        <w:rPr>
          <w:rFonts w:hint="eastAsia"/>
        </w:rPr>
        <w:t>0</w:t>
      </w:r>
      <w:r>
        <w:rPr>
          <w:rFonts w:hint="eastAsia"/>
        </w:rPr>
        <w:t>至</w:t>
      </w:r>
      <w:r>
        <w:rPr>
          <w:rFonts w:hint="eastAsia"/>
        </w:rPr>
        <w:t>1</w:t>
      </w:r>
      <w:r>
        <w:rPr>
          <w:rFonts w:hint="eastAsia"/>
        </w:rPr>
        <w:t>取值时，表示所有地区的属性</w:t>
      </w:r>
      <w:r>
        <w:rPr>
          <w:rFonts w:hint="eastAsia"/>
        </w:rPr>
        <w:t>`</w:t>
      </w:r>
      <w:r>
        <w:rPr>
          <w:rFonts w:hint="eastAsia"/>
        </w:rPr>
        <w:t>值在空间上有正相关性，表示具有相似的属性聚集在一起，在</w:t>
      </w:r>
      <w:r>
        <w:rPr>
          <w:rFonts w:hint="eastAsia"/>
        </w:rPr>
        <w:t>-1</w:t>
      </w:r>
      <w:r>
        <w:rPr>
          <w:rFonts w:hint="eastAsia"/>
        </w:rPr>
        <w:t>至</w:t>
      </w:r>
      <w:r>
        <w:rPr>
          <w:rFonts w:hint="eastAsia"/>
        </w:rPr>
        <w:t>0</w:t>
      </w:r>
      <w:r>
        <w:rPr>
          <w:rFonts w:hint="eastAsia"/>
        </w:rPr>
        <w:t>取值时，表示所有地区的属性值在空间上有负相关性，表示具有相异的属性聚集在一起，接近于</w:t>
      </w:r>
      <w:r>
        <w:rPr>
          <w:rFonts w:hint="eastAsia"/>
        </w:rPr>
        <w:t>0</w:t>
      </w:r>
      <w:r>
        <w:rPr>
          <w:rFonts w:hint="eastAsia"/>
        </w:rPr>
        <w:t>表示地区随机分布，无空间相关性。</w:t>
      </w:r>
    </w:p>
    <w:p w14:paraId="14520932" w14:textId="062E7FE0" w:rsidR="005F07D1" w:rsidRDefault="0045411C" w:rsidP="0045411C">
      <w:pPr>
        <w:pStyle w:val="3"/>
      </w:pPr>
      <w:r>
        <w:rPr>
          <w:rFonts w:hint="eastAsia"/>
        </w:rPr>
        <w:lastRenderedPageBreak/>
        <w:t>2</w:t>
      </w:r>
      <w:r>
        <w:t>.</w:t>
      </w:r>
      <w:r>
        <w:rPr>
          <w:rFonts w:hint="eastAsia"/>
        </w:rPr>
        <w:t>空间权重矩阵</w:t>
      </w:r>
    </w:p>
    <w:p w14:paraId="7B77A4FE" w14:textId="755DB7C3" w:rsidR="00643543" w:rsidRPr="00643543" w:rsidRDefault="00643543" w:rsidP="0045411C">
      <w:pPr>
        <w:rPr>
          <w:rFonts w:ascii="宋体" w:hAnsi="宋体" w:hint="eastAsia"/>
        </w:rPr>
      </w:pPr>
      <w:r>
        <w:rPr>
          <w:rFonts w:hint="eastAsia"/>
        </w:rPr>
        <w:t>通常衡量空间通过定义一个空间二元矩阵，来衡量</w:t>
      </w:r>
      <w:r>
        <w:rPr>
          <w:rFonts w:hint="eastAsia"/>
        </w:rPr>
        <w:t>n</w:t>
      </w:r>
      <w:proofErr w:type="gramStart"/>
      <w:r>
        <w:rPr>
          <w:rFonts w:hint="eastAsia"/>
        </w:rPr>
        <w:t>个</w:t>
      </w:r>
      <w:proofErr w:type="gramEnd"/>
      <w:r>
        <w:rPr>
          <w:rFonts w:hint="eastAsia"/>
        </w:rPr>
        <w:t>空间体（如省份、城市</w:t>
      </w:r>
      <w:r w:rsidR="00D2356F">
        <w:rPr>
          <w:rFonts w:hint="eastAsia"/>
        </w:rPr>
        <w:t>、建筑物等</w:t>
      </w:r>
      <w:r>
        <w:rPr>
          <w:rFonts w:hint="eastAsia"/>
        </w:rPr>
        <w:t>）之间的距离关系。</w:t>
      </w:r>
    </w:p>
    <w:p w14:paraId="58E04D61" w14:textId="31B0140D" w:rsidR="005F07D1" w:rsidRPr="00D2356F" w:rsidRDefault="00D2356F" w:rsidP="0045411C">
      <w:pPr>
        <w:ind w:firstLine="482"/>
        <w:jc w:val="center"/>
      </w:pPr>
      <m:oMathPara>
        <m:oMath>
          <m:r>
            <m:rPr>
              <m:sty m:val="b"/>
            </m:rPr>
            <w:rPr>
              <w:rFonts w:ascii="Cambria Math" w:hAnsi="Cambria Math"/>
            </w:rPr>
            <m:t>W</m:t>
          </m:r>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11</m:t>
                        </m:r>
                      </m:sub>
                    </m:sSub>
                  </m:e>
                  <m:e>
                    <m:sSub>
                      <m:sSubPr>
                        <m:ctrlPr>
                          <w:rPr>
                            <w:rFonts w:ascii="Cambria Math" w:hAnsi="Cambria Math"/>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1n</m:t>
                        </m:r>
                      </m:sub>
                    </m:sSub>
                  </m:e>
                </m:mr>
                <m:mr>
                  <m:e>
                    <m:sSub>
                      <m:sSubPr>
                        <m:ctrlPr>
                          <w:rPr>
                            <w:rFonts w:ascii="Cambria Math" w:hAnsi="Cambria Math"/>
                          </w:rPr>
                        </m:ctrlPr>
                      </m:sSubPr>
                      <m:e>
                        <m:r>
                          <w:rPr>
                            <w:rFonts w:ascii="Cambria Math" w:hAnsi="Cambria Math"/>
                          </w:rPr>
                          <m:t>w</m:t>
                        </m:r>
                      </m:e>
                      <m:sub>
                        <m:r>
                          <w:rPr>
                            <w:rFonts w:ascii="Cambria Math" w:hAnsi="Cambria Math"/>
                          </w:rPr>
                          <m:t>21</m:t>
                        </m:r>
                      </m:sub>
                    </m:sSub>
                  </m:e>
                  <m:e>
                    <m:sSub>
                      <m:sSubPr>
                        <m:ctrlPr>
                          <w:rPr>
                            <w:rFonts w:ascii="Cambria Math" w:hAnsi="Cambria Math"/>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n1</m:t>
                        </m:r>
                      </m:sub>
                    </m:sSub>
                  </m:e>
                  <m:e>
                    <m:sSub>
                      <m:sSubPr>
                        <m:ctrlPr>
                          <w:rPr>
                            <w:rFonts w:ascii="Cambria Math" w:hAnsi="Cambria Math"/>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nn</m:t>
                        </m:r>
                      </m:sub>
                    </m:sSub>
                  </m:e>
                </m:mr>
              </m:m>
            </m:e>
          </m:d>
        </m:oMath>
      </m:oMathPara>
    </w:p>
    <w:p w14:paraId="597E6302" w14:textId="77777777" w:rsidR="00C7767B" w:rsidRDefault="00D2356F" w:rsidP="00C7767B">
      <w:pPr>
        <w:ind w:firstLine="482"/>
      </w:pPr>
      <m:oMath>
        <m:r>
          <m:rPr>
            <m:sty m:val="b"/>
          </m:rPr>
          <w:rPr>
            <w:rFonts w:ascii="Cambria Math" w:hAnsi="Cambria Math"/>
          </w:rPr>
          <m:t>W</m:t>
        </m:r>
      </m:oMath>
      <w:r w:rsidRPr="00F8797D">
        <w:rPr>
          <w:rFonts w:hint="eastAsia"/>
        </w:rPr>
        <w:t>为一个</w:t>
      </w:r>
      <m:oMath>
        <m:sSup>
          <m:sSupPr>
            <m:ctrlPr>
              <w:rPr>
                <w:rFonts w:ascii="Cambria Math" w:hAnsi="Cambria Math"/>
              </w:rPr>
            </m:ctrlPr>
          </m:sSupPr>
          <m:e>
            <m:r>
              <m:rPr>
                <m:sty m:val="bi"/>
              </m:rPr>
              <w:rPr>
                <w:rFonts w:ascii="Cambria Math" w:hAnsi="Cambria Math" w:hint="eastAsia"/>
              </w:rPr>
              <m:t>R</m:t>
            </m:r>
          </m:e>
          <m:sup>
            <m:r>
              <m:rPr>
                <m:sty m:val="b"/>
              </m:rPr>
              <w:rPr>
                <w:rFonts w:ascii="Cambria Math" w:hAnsi="Cambria Math" w:hint="eastAsia"/>
              </w:rPr>
              <m:t>n</m:t>
            </m:r>
            <m:r>
              <m:rPr>
                <m:sty m:val="p"/>
              </m:rPr>
              <w:rPr>
                <w:rFonts w:ascii="Cambria Math" w:hAnsi="Cambria Math"/>
              </w:rPr>
              <m:t>×</m:t>
            </m:r>
            <m:r>
              <m:rPr>
                <m:sty m:val="b"/>
              </m:rPr>
              <w:rPr>
                <w:rFonts w:ascii="Cambria Math" w:hAnsi="Cambria Math"/>
              </w:rPr>
              <m:t>n</m:t>
            </m:r>
          </m:sup>
        </m:sSup>
      </m:oMath>
      <w:r w:rsidRPr="00F8797D">
        <w:rPr>
          <w:rFonts w:hint="eastAsia"/>
        </w:rPr>
        <w:t>的矩阵，</w:t>
      </w:r>
      <w:r w:rsidR="00F8797D">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hint="eastAsia"/>
              </w:rPr>
              <m:t>ij</m:t>
            </m:r>
          </m:sub>
        </m:sSub>
      </m:oMath>
      <w:r w:rsidR="00F8797D">
        <w:rPr>
          <w:rFonts w:hint="eastAsia"/>
        </w:rPr>
        <w:t>为</w:t>
      </w:r>
      <w:r w:rsidR="00C7767B">
        <w:rPr>
          <w:rFonts w:hint="eastAsia"/>
        </w:rPr>
        <w:t>空间体</w:t>
      </w:r>
      <w:proofErr w:type="spellStart"/>
      <w:r w:rsidR="00C7767B">
        <w:rPr>
          <w:rFonts w:hint="eastAsia"/>
        </w:rPr>
        <w:t>i</w:t>
      </w:r>
      <w:proofErr w:type="spellEnd"/>
      <w:r w:rsidR="00C7767B">
        <w:rPr>
          <w:rFonts w:hint="eastAsia"/>
        </w:rPr>
        <w:t>与空间体</w:t>
      </w:r>
      <w:r w:rsidR="00C7767B">
        <w:rPr>
          <w:rFonts w:hint="eastAsia"/>
        </w:rPr>
        <w:t>j</w:t>
      </w:r>
      <w:r w:rsidR="00C7767B">
        <w:rPr>
          <w:rFonts w:hint="eastAsia"/>
        </w:rPr>
        <w:t>直接的权重。</w:t>
      </w:r>
    </w:p>
    <w:p w14:paraId="73A7BB29" w14:textId="20C0F09B" w:rsidR="00C7767B" w:rsidRPr="00C7767B" w:rsidRDefault="00C7767B" w:rsidP="00C7767B">
      <m:oMathPara>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=1/</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oMath>
      </m:oMathPara>
    </w:p>
    <w:p w14:paraId="07FDD812" w14:textId="5493CF49" w:rsidR="00C7767B" w:rsidRDefault="00C7767B" w:rsidP="00C7767B">
      <w:pPr>
        <w:rPr>
          <w:rFonts w:hint="eastAsia"/>
        </w:rPr>
      </w:pPr>
      <m:oMathPara>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
            <m:rPr>
              <m:sty m:val="p"/>
            </m:rPr>
            <w:rPr>
              <w:rFonts w:ascii="Cambria Math" w:hAnsi="Cambria Math"/>
            </w:rPr>
            <m:t>arccos</m:t>
          </m:r>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r>
            <m:rPr>
              <m:sty m:val="p"/>
            </m:rP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m:t>
          </m:r>
          <m:r>
            <m:rPr>
              <m:sty m:val="p"/>
            </m:rPr>
            <w:rPr>
              <w:rFonts w:ascii="Cambria Math" w:hAnsi="Cambria Math"/>
            </w:rPr>
            <m:t>cos</m:t>
          </m:r>
          <m:r>
            <w:rPr>
              <w:rFonts w:ascii="Cambria Math" w:hAnsi="Cambria Math"/>
            </w:rPr>
            <m:t>⁡(</m:t>
          </m:r>
          <m:r>
            <m:rPr>
              <m:sty m:val="p"/>
            </m:rPr>
            <w:rPr>
              <w:rFonts w:ascii="Cambria Math" w:hAnsi="Cambria Math"/>
            </w:rPr>
            <m:t>Δ</m:t>
          </m:r>
          <m:r>
            <w:rPr>
              <w:rFonts w:ascii="Cambria Math" w:hAnsi="Cambria Math"/>
            </w:rPr>
            <m:t>τ))]×R</m:t>
          </m:r>
        </m:oMath>
      </m:oMathPara>
    </w:p>
    <w:p w14:paraId="6C1F7981" w14:textId="41893F9A" w:rsidR="00C7767B" w:rsidRPr="00D2356F" w:rsidRDefault="00C7767B" w:rsidP="004248EF">
      <w:pPr>
        <w:autoSpaceDE w:val="0"/>
        <w:autoSpaceDN w:val="0"/>
        <w:textAlignment w:val="center"/>
        <w:rPr>
          <w:rFonts w:hint="eastAsia"/>
        </w:rPr>
      </w:pPr>
      <w:r>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ϕ</m:t>
            </m:r>
          </m:e>
          <m:sub>
            <m:r>
              <w:rPr>
                <w:rFonts w:ascii="Cambria Math" w:hAnsi="Cambria Math"/>
              </w:rPr>
              <m:t>j</m:t>
            </m:r>
          </m:sub>
        </m:sSub>
      </m:oMath>
      <w:r>
        <w:rPr>
          <w:rFonts w:hint="eastAsia"/>
        </w:rPr>
        <w:t>分别表示某个省份</w:t>
      </w:r>
      <w:r w:rsidR="0097787C">
        <w:rPr>
          <w:rFonts w:hint="eastAsia"/>
        </w:rPr>
        <w:t>(</w:t>
      </w:r>
      <w:r w:rsidR="0097787C" w:rsidRPr="0097787C">
        <w:rPr>
          <w:rFonts w:hint="eastAsia"/>
        </w:rPr>
        <w:t>地理几何中心</w:t>
      </w:r>
      <w:r w:rsidR="0097787C">
        <w:rPr>
          <w:rFonts w:hint="eastAsia"/>
        </w:rPr>
        <w:t>比如省会之间的距离</w:t>
      </w:r>
      <w:r w:rsidR="0097787C">
        <w:rPr>
          <w:rFonts w:hint="eastAsia"/>
        </w:rPr>
        <w:t>)</w:t>
      </w:r>
      <w:r>
        <w:rPr>
          <w:rFonts w:hint="eastAsia"/>
        </w:rPr>
        <w:t>的纬度和经度；</w:t>
      </w:r>
      <m:oMath>
        <m:r>
          <m:rPr>
            <m:sty m:val="p"/>
          </m:rPr>
          <w:rPr>
            <w:rFonts w:ascii="Cambria Math" w:hAnsi="Cambria Math"/>
          </w:rPr>
          <m:t>Δ</m:t>
        </m:r>
        <m:r>
          <w:rPr>
            <w:rFonts w:ascii="Cambria Math" w:hAnsi="Cambria Math"/>
          </w:rPr>
          <m:t>τ</m:t>
        </m:r>
      </m:oMath>
      <w:r>
        <w:rPr>
          <w:rFonts w:hint="eastAsia"/>
        </w:rPr>
        <w:t>为两个省份间经度之差；</w:t>
      </w:r>
      <m:oMath>
        <m:r>
          <w:rPr>
            <w:rFonts w:ascii="Cambria Math" w:hAnsi="Cambria Math"/>
          </w:rPr>
          <m:t>R</m:t>
        </m:r>
      </m:oMath>
      <w:r>
        <w:rPr>
          <w:rFonts w:hint="eastAsia"/>
        </w:rPr>
        <w:t>为地球半径，等于</w:t>
      </w:r>
      <w:r>
        <w:rPr>
          <w:rFonts w:hint="eastAsia"/>
        </w:rPr>
        <w:t xml:space="preserve"> 3958.761 </w:t>
      </w:r>
      <w:r>
        <w:rPr>
          <w:rFonts w:hint="eastAsia"/>
        </w:rPr>
        <w:t>英里。在实际应用中，常对空间权重矩阵进行行标准化，空间权重矩阵的对角元素设为</w:t>
      </w:r>
      <w:r>
        <w:rPr>
          <w:rFonts w:hint="eastAsia"/>
        </w:rPr>
        <w:t xml:space="preserve"> 0</w:t>
      </w:r>
      <w:r>
        <w:rPr>
          <w:rFonts w:hint="eastAsia"/>
        </w:rPr>
        <w:t>。</w:t>
      </w:r>
    </w:p>
    <w:p w14:paraId="300576C1" w14:textId="7C3D6D2C" w:rsidR="005F07D1" w:rsidRDefault="0045411C" w:rsidP="0045411C">
      <w:pPr>
        <w:pStyle w:val="3"/>
      </w:pPr>
      <w:r>
        <w:rPr>
          <w:rFonts w:hint="eastAsia"/>
        </w:rPr>
        <w:t>3</w:t>
      </w:r>
      <w:r>
        <w:t>.</w:t>
      </w:r>
      <w:r>
        <w:rPr>
          <w:rFonts w:hint="eastAsia"/>
        </w:rPr>
        <w:t>空间杜宾模型</w:t>
      </w:r>
    </w:p>
    <w:p w14:paraId="5CA98EE5" w14:textId="77777777" w:rsidR="005F07D1" w:rsidRDefault="00000000" w:rsidP="0045411C">
      <w:r>
        <w:rPr>
          <w:rFonts w:hint="eastAsia"/>
        </w:rPr>
        <w:t>空间杜宾模型（</w:t>
      </w:r>
      <w:r>
        <w:rPr>
          <w:rFonts w:hint="eastAsia"/>
        </w:rPr>
        <w:t>SDM</w:t>
      </w:r>
      <w:r>
        <w:rPr>
          <w:rFonts w:hint="eastAsia"/>
        </w:rPr>
        <w:t>）是空间滞后模型和空间误差项模型的组合扩展形式，该模型是一个通过加入空间滞后变量而增强的</w:t>
      </w:r>
      <w:r>
        <w:rPr>
          <w:rFonts w:hint="eastAsia"/>
        </w:rPr>
        <w:t>SAR</w:t>
      </w:r>
      <w:r>
        <w:rPr>
          <w:rFonts w:hint="eastAsia"/>
        </w:rPr>
        <w:t>模型（空间滞后模型）。模型如下所示：</w:t>
      </w:r>
    </w:p>
    <w:p w14:paraId="6FDBDDA7" w14:textId="3E198761" w:rsidR="005F07D1" w:rsidRDefault="004248EF" w:rsidP="0045411C">
      <w:pPr>
        <w:rPr>
          <w:rFonts w:ascii="宋体" w:hAnsi="宋体"/>
        </w:rPr>
      </w:pPr>
      <m:oMathPara>
        <m:oMath>
          <m:eqArr>
            <m:eqArrPr>
              <m:ctrlPr>
                <w:rPr>
                  <w:rFonts w:ascii="Cambria Math" w:hAnsi="Cambria Math"/>
                </w:rPr>
              </m:ctrlPr>
            </m:eqArrPr>
            <m:e>
              <m:sSub>
                <m:sSubPr>
                  <m:ctrlPr>
                    <w:rPr>
                      <w:rFonts w:ascii="Cambria Math" w:hAnsi="Cambria Math"/>
                    </w:rPr>
                  </m:ctrlPr>
                </m:sSubPr>
                <m:e>
                  <w:bookmarkStart w:id="12" w:name="_Hlk152549165"/>
                  <m:r>
                    <w:rPr>
                      <w:rFonts w:ascii="Cambria Math" w:hAnsi="Cambria Math"/>
                    </w:rPr>
                    <m:t>ES</m:t>
                  </m:r>
                </m:e>
                <m:sub>
                  <m:r>
                    <w:rPr>
                      <w:rFonts w:ascii="Cambria Math" w:hAnsi="Cambria Math"/>
                    </w:rPr>
                    <m:t>it</m:t>
                  </m:r>
                  <w:bookmarkEnd w:id="12"/>
                </m:sub>
              </m:sSub>
              <m:r>
                <m:rPr>
                  <m:sty m:val="p"/>
                </m:rPr>
                <w:rPr>
                  <w:rFonts w:ascii="Cambria Math" w:hAnsi="Cambria Math"/>
                </w:rPr>
                <m:t>=</m:t>
              </m:r>
              <m:sSub>
                <m:sSubPr>
                  <m:ctrlPr>
                    <w:rPr>
                      <w:rFonts w:ascii="Cambria Math" w:hAnsi="Cambria Math"/>
                    </w:rPr>
                  </m:ctrlPr>
                </m:sSubPr>
                <m:e>
                  <w:bookmarkStart w:id="13" w:name="_Hlk152549312"/>
                  <m:r>
                    <w:rPr>
                      <w:rFonts w:ascii="Cambria Math" w:hAnsi="Cambria Math"/>
                    </w:rPr>
                    <m:t>β</m:t>
                  </m:r>
                </m:e>
                <m:sub>
                  <m:r>
                    <m:rPr>
                      <m:sty m:val="p"/>
                    </m:rPr>
                    <w:rPr>
                      <w:rFonts w:ascii="Cambria Math" w:hAnsi="Cambria Math"/>
                    </w:rPr>
                    <m:t>0</m:t>
                  </m:r>
                  <w:bookmarkEnd w:id="13"/>
                </m:sub>
              </m:sSub>
              <m:r>
                <m:rPr>
                  <m:sty m:val="p"/>
                </m:rPr>
                <w:rPr>
                  <w:rFonts w:ascii="Cambria Math" w:hAnsi="Cambria Math"/>
                </w:rPr>
                <m:t>+</m:t>
              </m:r>
              <m:r>
                <w:rPr>
                  <w:rFonts w:ascii="Cambria Math" w:hAnsi="Cambria Math"/>
                </w:rPr>
                <m:t>ρ</m:t>
              </m:r>
              <m:r>
                <m:rPr>
                  <m:sty m:val="p"/>
                </m:rPr>
                <w:rPr>
                  <w:rFonts w:ascii="Cambria Math" w:hAnsi="Cambria Math"/>
                </w:rPr>
                <m:t>W</m:t>
              </m:r>
              <m:sSub>
                <m:sSubPr>
                  <m:ctrlPr>
                    <w:rPr>
                      <w:rFonts w:ascii="Cambria Math" w:hAnsi="Cambria Math"/>
                    </w:rPr>
                  </m:ctrlPr>
                </m:sSubPr>
                <m:e>
                  <m:r>
                    <w:rPr>
                      <w:rFonts w:ascii="Cambria Math" w:hAnsi="Cambria Math"/>
                    </w:rPr>
                    <m:t>ES</m:t>
                  </m:r>
                </m:e>
                <m:sub>
                  <m:r>
                    <w:rPr>
                      <w:rFonts w:ascii="Cambria Math" w:hAnsi="Cambria Math"/>
                    </w:rPr>
                    <m:t>it</m:t>
                  </m:r>
                </m:sub>
              </m:sSub>
              <m:r>
                <m:rPr>
                  <m:sty m:val="p"/>
                </m:rPr>
                <w:rPr>
                  <w:rFonts w:ascii="Cambria Math" w:hAnsi="Cambria Math"/>
                </w:rPr>
                <m:t>+</m:t>
              </m:r>
              <w:bookmarkStart w:id="14" w:name="_Hlk152549436"/>
              <m:sSub>
                <m:sSubPr>
                  <m:ctrlPr>
                    <w:rPr>
                      <w:rFonts w:ascii="Cambria Math" w:hAnsi="Cambria Math"/>
                    </w:rPr>
                  </m:ctrlPr>
                </m:sSubPr>
                <m:e>
                  <m:r>
                    <w:rPr>
                      <w:rFonts w:ascii="Cambria Math" w:hAnsi="Cambria Math"/>
                    </w:rPr>
                    <m:t>b</m:t>
                  </m:r>
                </m:e>
                <m:sub>
                  <m:r>
                    <m:rPr>
                      <m:sty m:val="p"/>
                    </m:rPr>
                    <w:rPr>
                      <w:rFonts w:ascii="Cambria Math" w:hAnsi="Cambria Math"/>
                    </w:rPr>
                    <m:t>1</m:t>
                  </m:r>
                </m:sub>
              </m:sSub>
              <w:bookmarkEnd w:id="14"/>
              <m:sSub>
                <m:sSubPr>
                  <m:ctrlPr>
                    <w:rPr>
                      <w:rFonts w:ascii="Cambria Math" w:hAnsi="Cambria Math"/>
                    </w:rPr>
                  </m:ctrlPr>
                </m:sSubPr>
                <m:e>
                  <m:r>
                    <w:rPr>
                      <w:rFonts w:ascii="Cambria Math" w:hAnsi="Cambria Math"/>
                    </w:rPr>
                    <m:t>GF</m:t>
                  </m:r>
                </m:e>
                <m:sub>
                  <m:r>
                    <w:rPr>
                      <w:rFonts w:ascii="Cambria Math" w:hAnsi="Cambria Math"/>
                    </w:rPr>
                    <m:t>it</m:t>
                  </m:r>
                </m:sub>
              </m:sSub>
              <m:r>
                <m:rPr>
                  <m:sty m:val="p"/>
                </m:rPr>
                <w:rPr>
                  <w:rFonts w:ascii="Cambria Math" w:hAnsi="Cambria Math"/>
                </w:rPr>
                <m:t>+</m:t>
              </m:r>
              <w:bookmarkStart w:id="15" w:name="_Hlk152549460"/>
              <m:sSub>
                <m:sSubPr>
                  <m:ctrlPr>
                    <w:rPr>
                      <w:rFonts w:ascii="Cambria Math" w:hAnsi="Cambria Math"/>
                    </w:rPr>
                  </m:ctrlPr>
                </m:sSubPr>
                <m:e>
                  <m:r>
                    <w:rPr>
                      <w:rFonts w:ascii="Cambria Math" w:hAnsi="Cambria Math"/>
                    </w:rPr>
                    <m:t>b</m:t>
                  </m:r>
                </m:e>
                <m:sub>
                  <m:r>
                    <m:rPr>
                      <m:sty m:val="p"/>
                    </m:rPr>
                    <w:rPr>
                      <w:rFonts w:ascii="Cambria Math" w:hAnsi="Cambria Math"/>
                    </w:rPr>
                    <m:t>2</m:t>
                  </m:r>
                </m:sub>
              </m:sSub>
              <w:bookmarkEnd w:id="15"/>
              <m:sSub>
                <m:sSubPr>
                  <m:ctrlPr>
                    <w:rPr>
                      <w:rFonts w:ascii="Cambria Math" w:hAnsi="Cambria Math"/>
                    </w:rPr>
                  </m:ctrlPr>
                </m:sSubPr>
                <m:e>
                  <m:r>
                    <w:rPr>
                      <w:rFonts w:ascii="Cambria Math" w:hAnsi="Cambria Math"/>
                    </w:rPr>
                    <m:t>control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w:bookmarkStart w:id="16" w:name="_Hlk152549635"/>
                  <m:r>
                    <w:rPr>
                      <w:rFonts w:ascii="Cambria Math" w:hAnsi="Cambria Math"/>
                    </w:rPr>
                    <m:t>θ</m:t>
                  </m:r>
                </m:e>
                <m:sub>
                  <m:r>
                    <m:rPr>
                      <m:sty m:val="p"/>
                    </m:rPr>
                    <w:rPr>
                      <w:rFonts w:ascii="Cambria Math" w:hAnsi="Cambria Math"/>
                    </w:rPr>
                    <m:t>1</m:t>
                  </m:r>
                  <w:bookmarkEnd w:id="16"/>
                </m:sub>
              </m:sSub>
              <m:r>
                <m:rPr>
                  <m:sty m:val="p"/>
                </m:rPr>
                <w:rPr>
                  <w:rFonts w:ascii="Cambria Math" w:hAnsi="Cambria Math"/>
                </w:rPr>
                <m:t>W</m:t>
              </m:r>
              <m:sSub>
                <m:sSubPr>
                  <m:ctrlPr>
                    <w:rPr>
                      <w:rFonts w:ascii="Cambria Math" w:hAnsi="Cambria Math"/>
                    </w:rPr>
                  </m:ctrlPr>
                </m:sSubPr>
                <m:e>
                  <m:r>
                    <w:rPr>
                      <w:rFonts w:ascii="Cambria Math" w:hAnsi="Cambria Math"/>
                    </w:rPr>
                    <m:t>GF</m:t>
                  </m:r>
                </m:e>
                <m:sub>
                  <m:r>
                    <w:rPr>
                      <w:rFonts w:ascii="Cambria Math" w:hAnsi="Cambria Math"/>
                    </w:rPr>
                    <m:t>it</m:t>
                  </m:r>
                </m:sub>
              </m:sSub>
              <m:ctrlPr>
                <w:rPr>
                  <w:rFonts w:ascii="Cambria Math" w:eastAsia="Cambria Math" w:hAnsi="Cambria Math" w:cs="Cambria Math"/>
                  <w:i/>
                </w:rPr>
              </m:ctrlPr>
            </m:e>
            <m:e>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W</m:t>
              </m:r>
              <m:sSub>
                <m:sSubPr>
                  <m:ctrlPr>
                    <w:rPr>
                      <w:rFonts w:ascii="Cambria Math" w:hAnsi="Cambria Math"/>
                    </w:rPr>
                  </m:ctrlPr>
                </m:sSubPr>
                <m:e>
                  <m:r>
                    <w:rPr>
                      <w:rFonts w:ascii="Cambria Math" w:hAnsi="Cambria Math"/>
                    </w:rPr>
                    <m:t>control</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acc>
                    <m:accPr>
                      <m:chr m:val="̇"/>
                      <m:ctrlPr>
                        <w:rPr>
                          <w:rFonts w:ascii="Cambria Math" w:hAnsi="Cambria Math"/>
                        </w:rPr>
                      </m:ctrlPr>
                    </m:accPr>
                    <m:e>
                      <m:r>
                        <w:rPr>
                          <w:rFonts w:ascii="Cambria Math" w:hAnsi="Cambria Math"/>
                        </w:rPr>
                        <m:t>I</m:t>
                      </m:r>
                    </m:e>
                  </m:acc>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e>
          </m:eqArr>
        </m:oMath>
      </m:oMathPara>
    </w:p>
    <w:p w14:paraId="60D3302D" w14:textId="77777777" w:rsidR="005F07D1" w:rsidRDefault="00000000" w:rsidP="0045411C">
      <w:r>
        <w:rPr>
          <w:rFonts w:hint="eastAsia"/>
        </w:rPr>
        <w:t>其中，</w:t>
      </w:r>
      <m:oMath>
        <m:sSub>
          <m:sSubPr>
            <m:ctrlPr>
              <w:rPr>
                <w:rFonts w:ascii="Cambria Math" w:hAnsi="Cambria Math"/>
              </w:rPr>
            </m:ctrlPr>
          </m:sSubPr>
          <m:e>
            <m:r>
              <m:rPr>
                <m:sty m:val="p"/>
              </m:rPr>
              <w:rPr>
                <w:rFonts w:ascii="Cambria Math" w:hAnsi="Cambria Math"/>
              </w:rPr>
              <m:t>ES</m:t>
            </m:r>
          </m:e>
          <m:sub>
            <m:r>
              <m:rPr>
                <m:sty m:val="p"/>
              </m:rPr>
              <w:rPr>
                <w:rFonts w:ascii="Cambria Math" w:hAnsi="Cambria Math"/>
              </w:rPr>
              <m:t>it</m:t>
            </m:r>
          </m:sub>
        </m:sSub>
      </m:oMath>
      <w:r>
        <w:rPr>
          <w:rFonts w:hint="eastAsia"/>
        </w:rPr>
        <w:t>表示能源结构转型升级指数，</w:t>
      </w:r>
      <m:oMath>
        <m:sSub>
          <m:sSubPr>
            <m:ctrlPr>
              <w:rPr>
                <w:rFonts w:ascii="Cambria Math" w:hAnsi="Cambria Math"/>
              </w:rPr>
            </m:ctrlPr>
          </m:sSubPr>
          <m:e>
            <m:r>
              <w:rPr>
                <w:rFonts w:ascii="Cambria Math" w:hAnsi="Cambria Math"/>
              </w:rPr>
              <m:t>GF</m:t>
            </m:r>
          </m:e>
          <m:sub>
            <m:r>
              <m:rPr>
                <m:sty m:val="p"/>
              </m:rPr>
              <w:rPr>
                <w:rFonts w:ascii="Cambria Math" w:hAnsi="Cambria Math"/>
              </w:rPr>
              <m:t>it</m:t>
            </m:r>
          </m:sub>
        </m:sSub>
      </m:oMath>
      <w:r>
        <w:rPr>
          <w:rFonts w:hint="eastAsia"/>
        </w:rPr>
        <w:t>代表绿色金融指数，</w:t>
      </w:r>
      <m:oMath>
        <m:sSub>
          <m:sSubPr>
            <m:ctrlPr>
              <w:rPr>
                <w:rFonts w:ascii="Cambria Math" w:hAnsi="Cambria Math"/>
              </w:rPr>
            </m:ctrlPr>
          </m:sSubPr>
          <m:e>
            <m:r>
              <m:rPr>
                <m:sty m:val="p"/>
              </m:rPr>
              <w:rPr>
                <w:rFonts w:ascii="Cambria Math" w:hAnsi="Cambria Math"/>
              </w:rPr>
              <m:t>control</m:t>
            </m:r>
          </m:e>
          <m:sub>
            <m:r>
              <m:rPr>
                <m:sty m:val="p"/>
              </m:rPr>
              <w:rPr>
                <w:rFonts w:ascii="Cambria Math" w:hAnsi="Cambria Math"/>
              </w:rPr>
              <m:t>it</m:t>
            </m:r>
          </m:sub>
        </m:sSub>
      </m:oMath>
      <w:r>
        <w:rPr>
          <w:rFonts w:hint="eastAsia"/>
        </w:rPr>
        <w:t>为控制变量，</w:t>
      </w:r>
      <w:r>
        <w:rPr>
          <w:rFonts w:hint="eastAsia"/>
        </w:rPr>
        <w:t>W</w:t>
      </w:r>
      <w:r>
        <w:rPr>
          <w:rFonts w:hint="eastAsia"/>
        </w:rPr>
        <w:t>为空间权重矩阵，</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hint="eastAsia"/>
        </w:rPr>
        <w:t>表示本地区解释变量对本地区被解释变量的影响，</w:t>
      </w:r>
      <m:oMath>
        <m:sSub>
          <m:sSubPr>
            <m:ctrlPr>
              <w:rPr>
                <w:rFonts w:ascii="Cambria Math" w:hAnsi="Cambria Math"/>
              </w:rPr>
            </m:ctrlPr>
          </m:sSubPr>
          <m:e>
            <w:bookmarkStart w:id="17" w:name="_Hlk152549697"/>
            <m:r>
              <w:rPr>
                <w:rFonts w:ascii="Cambria Math" w:hAnsi="Cambria Math"/>
              </w:rPr>
              <m:t>θ</m:t>
            </m:r>
          </m:e>
          <m:sub>
            <m:r>
              <w:rPr>
                <w:rFonts w:ascii="Cambria Math" w:hAnsi="Cambria Math"/>
              </w:rPr>
              <m:t>i</m:t>
            </m:r>
            <w:bookmarkEnd w:id="17"/>
          </m:sub>
        </m:sSub>
      </m:oMath>
      <w:r>
        <w:rPr>
          <w:rFonts w:hint="eastAsia"/>
        </w:rPr>
        <w:t>表示空间滞后变量系数，当</w:t>
      </w:r>
      <m:oMath>
        <m:sSub>
          <m:sSubPr>
            <m:ctrlPr>
              <w:rPr>
                <w:rFonts w:ascii="Cambria Math" w:hAnsi="Cambria Math"/>
              </w:rPr>
            </m:ctrlPr>
          </m:sSubPr>
          <m:e>
            <m:r>
              <w:rPr>
                <w:rFonts w:ascii="Cambria Math" w:hAnsi="Cambria Math"/>
              </w:rPr>
              <m:t>θ</m:t>
            </m:r>
          </m:e>
          <m:sub>
            <m:r>
              <w:rPr>
                <w:rFonts w:ascii="Cambria Math" w:hAnsi="Cambria Math"/>
              </w:rPr>
              <m:t>i</m:t>
            </m:r>
          </m:sub>
        </m:sSub>
      </m:oMath>
      <w:r>
        <w:rPr>
          <w:rFonts w:hint="eastAsia"/>
        </w:rPr>
        <w:t>＞</w:t>
      </w:r>
      <w:r>
        <w:rPr>
          <w:rFonts w:hint="eastAsia"/>
        </w:rPr>
        <w:t>0</w:t>
      </w:r>
      <w:r>
        <w:rPr>
          <w:rFonts w:hint="eastAsia"/>
        </w:rPr>
        <w:t>时，说明本地区解释变量对邻近地区被解释变量存在正向溢出效应，当</w:t>
      </w:r>
      <m:oMath>
        <m:sSub>
          <m:sSubPr>
            <m:ctrlPr>
              <w:rPr>
                <w:rFonts w:ascii="Cambria Math" w:hAnsi="Cambria Math"/>
              </w:rPr>
            </m:ctrlPr>
          </m:sSubPr>
          <m:e>
            <m:r>
              <w:rPr>
                <w:rFonts w:ascii="Cambria Math" w:hAnsi="Cambria Math"/>
              </w:rPr>
              <m:t>θ</m:t>
            </m:r>
          </m:e>
          <m:sub>
            <m:r>
              <w:rPr>
                <w:rFonts w:ascii="Cambria Math" w:hAnsi="Cambria Math"/>
              </w:rPr>
              <m:t>i</m:t>
            </m:r>
          </m:sub>
        </m:sSub>
      </m:oMath>
      <w:r>
        <w:rPr>
          <w:rFonts w:hint="eastAsia"/>
        </w:rPr>
        <w:t>＜</w:t>
      </w:r>
      <w:r>
        <w:rPr>
          <w:rFonts w:hint="eastAsia"/>
        </w:rPr>
        <w:t>0</w:t>
      </w:r>
      <w:r>
        <w:rPr>
          <w:rFonts w:hint="eastAsia"/>
        </w:rPr>
        <w:t>时，表示存在负向溢出效应。</w:t>
      </w:r>
      <w:bookmarkEnd w:id="3"/>
    </w:p>
    <w:p w14:paraId="20EC0664" w14:textId="656B7A9A" w:rsidR="005F07D1" w:rsidRDefault="00B63B3A" w:rsidP="00B63B3A">
      <w:pPr>
        <w:pStyle w:val="2"/>
        <w:ind w:firstLine="482"/>
      </w:pPr>
      <w:r>
        <w:rPr>
          <w:rFonts w:hint="eastAsia"/>
        </w:rPr>
        <w:t>（二）实证分析</w:t>
      </w:r>
    </w:p>
    <w:p w14:paraId="26687D30" w14:textId="6CA5C8CF" w:rsidR="005F07D1" w:rsidRDefault="00B63B3A" w:rsidP="00B63B3A">
      <w:pPr>
        <w:pStyle w:val="3"/>
      </w:pPr>
      <w:r>
        <w:rPr>
          <w:rFonts w:hint="eastAsia"/>
        </w:rPr>
        <w:t>1</w:t>
      </w:r>
      <w:r>
        <w:t>.</w:t>
      </w:r>
      <w:r>
        <w:rPr>
          <w:rFonts w:hint="eastAsia"/>
        </w:rPr>
        <w:t>描述性统计</w:t>
      </w:r>
    </w:p>
    <w:p w14:paraId="11975FAD" w14:textId="27693AB4" w:rsidR="005F07D1" w:rsidRPr="00B63B3A" w:rsidRDefault="00000000" w:rsidP="00B63B3A">
      <w:pPr>
        <w:ind w:firstLine="420"/>
        <w:jc w:val="center"/>
        <w:rPr>
          <w:rFonts w:ascii="仿宋" w:eastAsia="仿宋" w:hAnsi="仿宋"/>
          <w:sz w:val="21"/>
          <w:szCs w:val="21"/>
        </w:rPr>
      </w:pPr>
      <w:r w:rsidRPr="00B63B3A">
        <w:rPr>
          <w:rFonts w:ascii="仿宋" w:eastAsia="仿宋" w:hAnsi="仿宋" w:hint="eastAsia"/>
          <w:sz w:val="21"/>
          <w:szCs w:val="21"/>
        </w:rPr>
        <w:t>表</w:t>
      </w:r>
      <w:r w:rsidR="00D64853">
        <w:rPr>
          <w:rFonts w:ascii="仿宋" w:eastAsia="仿宋" w:hAnsi="仿宋"/>
          <w:sz w:val="21"/>
          <w:szCs w:val="21"/>
        </w:rPr>
        <w:t xml:space="preserve">2 </w:t>
      </w:r>
      <w:r w:rsidRPr="00B63B3A">
        <w:rPr>
          <w:rFonts w:ascii="仿宋" w:eastAsia="仿宋" w:hAnsi="仿宋" w:hint="eastAsia"/>
          <w:sz w:val="21"/>
          <w:szCs w:val="21"/>
        </w:rPr>
        <w:t>变量描述性统计结果</w:t>
      </w:r>
    </w:p>
    <w:tbl>
      <w:tblPr>
        <w:tblStyle w:val="a7"/>
        <w:tblW w:w="0" w:type="auto"/>
        <w:jc w:val="center"/>
        <w:tblInd w:w="0" w:type="dxa"/>
        <w:tblBorders>
          <w:left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1417"/>
        <w:gridCol w:w="1416"/>
        <w:gridCol w:w="1417"/>
        <w:gridCol w:w="1417"/>
        <w:gridCol w:w="1418"/>
        <w:gridCol w:w="1419"/>
      </w:tblGrid>
      <w:tr w:rsidR="005F07D1" w:rsidRPr="00B63B3A" w14:paraId="76298D1D" w14:textId="77777777" w:rsidTr="00B63B3A">
        <w:trPr>
          <w:jc w:val="center"/>
        </w:trPr>
        <w:tc>
          <w:tcPr>
            <w:tcW w:w="1420" w:type="dxa"/>
            <w:tcBorders>
              <w:bottom w:val="single" w:sz="4" w:space="0" w:color="000000"/>
              <w:tl2br w:val="nil"/>
              <w:tr2bl w:val="nil"/>
            </w:tcBorders>
            <w:vAlign w:val="center"/>
          </w:tcPr>
          <w:p w14:paraId="773E1D07"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变量</w:t>
            </w:r>
          </w:p>
        </w:tc>
        <w:tc>
          <w:tcPr>
            <w:tcW w:w="1420" w:type="dxa"/>
            <w:tcBorders>
              <w:bottom w:val="single" w:sz="4" w:space="0" w:color="000000"/>
              <w:tl2br w:val="nil"/>
              <w:tr2bl w:val="nil"/>
            </w:tcBorders>
            <w:vAlign w:val="center"/>
          </w:tcPr>
          <w:p w14:paraId="24EC83B1"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样本数</w:t>
            </w:r>
          </w:p>
        </w:tc>
        <w:tc>
          <w:tcPr>
            <w:tcW w:w="1420" w:type="dxa"/>
            <w:tcBorders>
              <w:bottom w:val="single" w:sz="4" w:space="0" w:color="000000"/>
              <w:tl2br w:val="nil"/>
              <w:tr2bl w:val="nil"/>
            </w:tcBorders>
            <w:vAlign w:val="center"/>
          </w:tcPr>
          <w:p w14:paraId="2084D161"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均值</w:t>
            </w:r>
          </w:p>
        </w:tc>
        <w:tc>
          <w:tcPr>
            <w:tcW w:w="1420" w:type="dxa"/>
            <w:tcBorders>
              <w:bottom w:val="single" w:sz="4" w:space="0" w:color="000000"/>
              <w:tl2br w:val="nil"/>
              <w:tr2bl w:val="nil"/>
            </w:tcBorders>
            <w:vAlign w:val="center"/>
          </w:tcPr>
          <w:p w14:paraId="226132EF"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标准差</w:t>
            </w:r>
          </w:p>
        </w:tc>
        <w:tc>
          <w:tcPr>
            <w:tcW w:w="1421" w:type="dxa"/>
            <w:tcBorders>
              <w:bottom w:val="single" w:sz="4" w:space="0" w:color="000000"/>
              <w:tl2br w:val="nil"/>
              <w:tr2bl w:val="nil"/>
            </w:tcBorders>
            <w:vAlign w:val="center"/>
          </w:tcPr>
          <w:p w14:paraId="05EBB340"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最小值</w:t>
            </w:r>
          </w:p>
        </w:tc>
        <w:tc>
          <w:tcPr>
            <w:tcW w:w="1421" w:type="dxa"/>
            <w:tcBorders>
              <w:bottom w:val="single" w:sz="4" w:space="0" w:color="000000"/>
              <w:tl2br w:val="nil"/>
              <w:tr2bl w:val="nil"/>
            </w:tcBorders>
            <w:vAlign w:val="center"/>
          </w:tcPr>
          <w:p w14:paraId="3E48491C" w14:textId="77777777" w:rsidR="005F07D1" w:rsidRPr="00EB5096" w:rsidRDefault="00000000" w:rsidP="00B63B3A">
            <w:pPr>
              <w:ind w:firstLineChars="0" w:firstLine="0"/>
              <w:jc w:val="center"/>
              <w:rPr>
                <w:rFonts w:ascii="仿宋" w:eastAsia="仿宋" w:hAnsi="仿宋"/>
                <w:b/>
                <w:bCs/>
                <w:sz w:val="21"/>
                <w:szCs w:val="21"/>
              </w:rPr>
            </w:pPr>
            <w:r w:rsidRPr="00EB5096">
              <w:rPr>
                <w:rFonts w:ascii="仿宋" w:eastAsia="仿宋" w:hAnsi="仿宋" w:hint="eastAsia"/>
                <w:b/>
                <w:bCs/>
                <w:sz w:val="21"/>
                <w:szCs w:val="21"/>
              </w:rPr>
              <w:t>最大值</w:t>
            </w:r>
          </w:p>
        </w:tc>
      </w:tr>
      <w:tr w:rsidR="005F07D1" w:rsidRPr="00B63B3A" w14:paraId="2D36658A" w14:textId="77777777" w:rsidTr="00B63B3A">
        <w:trPr>
          <w:jc w:val="center"/>
        </w:trPr>
        <w:tc>
          <w:tcPr>
            <w:tcW w:w="1420" w:type="dxa"/>
            <w:tcBorders>
              <w:top w:val="single" w:sz="4" w:space="0" w:color="000000"/>
              <w:tl2br w:val="nil"/>
              <w:tr2bl w:val="nil"/>
            </w:tcBorders>
            <w:vAlign w:val="center"/>
          </w:tcPr>
          <w:p w14:paraId="3317787D"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ES</w:t>
            </w:r>
          </w:p>
        </w:tc>
        <w:tc>
          <w:tcPr>
            <w:tcW w:w="1420" w:type="dxa"/>
            <w:tcBorders>
              <w:top w:val="single" w:sz="4" w:space="0" w:color="000000"/>
              <w:tl2br w:val="nil"/>
              <w:tr2bl w:val="nil"/>
            </w:tcBorders>
            <w:vAlign w:val="center"/>
          </w:tcPr>
          <w:p w14:paraId="26761D11"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op w:val="single" w:sz="4" w:space="0" w:color="000000"/>
              <w:tl2br w:val="nil"/>
              <w:tr2bl w:val="nil"/>
            </w:tcBorders>
            <w:vAlign w:val="center"/>
          </w:tcPr>
          <w:p w14:paraId="1C45DDD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0.582</w:t>
            </w:r>
          </w:p>
        </w:tc>
        <w:tc>
          <w:tcPr>
            <w:tcW w:w="1420" w:type="dxa"/>
            <w:tcBorders>
              <w:top w:val="single" w:sz="4" w:space="0" w:color="000000"/>
              <w:tl2br w:val="nil"/>
              <w:tr2bl w:val="nil"/>
            </w:tcBorders>
            <w:vAlign w:val="center"/>
          </w:tcPr>
          <w:p w14:paraId="3F5CFBBE"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0.201</w:t>
            </w:r>
          </w:p>
        </w:tc>
        <w:tc>
          <w:tcPr>
            <w:tcW w:w="1421" w:type="dxa"/>
            <w:tcBorders>
              <w:top w:val="single" w:sz="4" w:space="0" w:color="000000"/>
              <w:tl2br w:val="nil"/>
              <w:tr2bl w:val="nil"/>
            </w:tcBorders>
            <w:vAlign w:val="center"/>
          </w:tcPr>
          <w:p w14:paraId="6D32720D"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0.242</w:t>
            </w:r>
          </w:p>
        </w:tc>
        <w:tc>
          <w:tcPr>
            <w:tcW w:w="1421" w:type="dxa"/>
            <w:tcBorders>
              <w:top w:val="single" w:sz="4" w:space="0" w:color="000000"/>
              <w:tl2br w:val="nil"/>
              <w:tr2bl w:val="nil"/>
            </w:tcBorders>
            <w:vAlign w:val="center"/>
          </w:tcPr>
          <w:p w14:paraId="434E483F"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1.049</w:t>
            </w:r>
          </w:p>
        </w:tc>
      </w:tr>
      <w:tr w:rsidR="005F07D1" w:rsidRPr="00B63B3A" w14:paraId="69081A32" w14:textId="77777777" w:rsidTr="00B63B3A">
        <w:trPr>
          <w:jc w:val="center"/>
        </w:trPr>
        <w:tc>
          <w:tcPr>
            <w:tcW w:w="1420" w:type="dxa"/>
            <w:tcBorders>
              <w:tl2br w:val="nil"/>
              <w:tr2bl w:val="nil"/>
            </w:tcBorders>
            <w:vAlign w:val="center"/>
          </w:tcPr>
          <w:p w14:paraId="1AE23202"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GF</w:t>
            </w:r>
          </w:p>
        </w:tc>
        <w:tc>
          <w:tcPr>
            <w:tcW w:w="1420" w:type="dxa"/>
            <w:tcBorders>
              <w:tl2br w:val="nil"/>
              <w:tr2bl w:val="nil"/>
            </w:tcBorders>
            <w:vAlign w:val="center"/>
          </w:tcPr>
          <w:p w14:paraId="72A52627"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l2br w:val="nil"/>
              <w:tr2bl w:val="nil"/>
            </w:tcBorders>
            <w:vAlign w:val="center"/>
          </w:tcPr>
          <w:p w14:paraId="44B5A58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0.072</w:t>
            </w:r>
          </w:p>
        </w:tc>
        <w:tc>
          <w:tcPr>
            <w:tcW w:w="1420" w:type="dxa"/>
            <w:tcBorders>
              <w:tl2br w:val="nil"/>
              <w:tr2bl w:val="nil"/>
            </w:tcBorders>
            <w:vAlign w:val="center"/>
          </w:tcPr>
          <w:p w14:paraId="079CBD9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0.031</w:t>
            </w:r>
          </w:p>
        </w:tc>
        <w:tc>
          <w:tcPr>
            <w:tcW w:w="1421" w:type="dxa"/>
            <w:tcBorders>
              <w:tl2br w:val="nil"/>
              <w:tr2bl w:val="nil"/>
            </w:tcBorders>
            <w:vAlign w:val="center"/>
          </w:tcPr>
          <w:p w14:paraId="2322C3AB"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0.029</w:t>
            </w:r>
          </w:p>
        </w:tc>
        <w:tc>
          <w:tcPr>
            <w:tcW w:w="1421" w:type="dxa"/>
            <w:tcBorders>
              <w:tl2br w:val="nil"/>
              <w:tr2bl w:val="nil"/>
            </w:tcBorders>
            <w:vAlign w:val="center"/>
          </w:tcPr>
          <w:p w14:paraId="07B9413B"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0.244</w:t>
            </w:r>
          </w:p>
        </w:tc>
      </w:tr>
      <w:tr w:rsidR="005F07D1" w:rsidRPr="00B63B3A" w14:paraId="26796C55" w14:textId="77777777" w:rsidTr="00B63B3A">
        <w:trPr>
          <w:jc w:val="center"/>
        </w:trPr>
        <w:tc>
          <w:tcPr>
            <w:tcW w:w="1420" w:type="dxa"/>
            <w:tcBorders>
              <w:tl2br w:val="nil"/>
              <w:tr2bl w:val="nil"/>
            </w:tcBorders>
            <w:vAlign w:val="center"/>
          </w:tcPr>
          <w:p w14:paraId="76E1DEFB"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TP</w:t>
            </w:r>
          </w:p>
        </w:tc>
        <w:tc>
          <w:tcPr>
            <w:tcW w:w="1420" w:type="dxa"/>
            <w:tcBorders>
              <w:tl2br w:val="nil"/>
              <w:tr2bl w:val="nil"/>
            </w:tcBorders>
            <w:vAlign w:val="center"/>
          </w:tcPr>
          <w:p w14:paraId="523435D3"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l2br w:val="nil"/>
              <w:tr2bl w:val="nil"/>
            </w:tcBorders>
            <w:vAlign w:val="center"/>
          </w:tcPr>
          <w:p w14:paraId="3801B632"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9.824</w:t>
            </w:r>
          </w:p>
        </w:tc>
        <w:tc>
          <w:tcPr>
            <w:tcW w:w="1420" w:type="dxa"/>
            <w:tcBorders>
              <w:tl2br w:val="nil"/>
              <w:tr2bl w:val="nil"/>
            </w:tcBorders>
            <w:vAlign w:val="center"/>
          </w:tcPr>
          <w:p w14:paraId="34B76E23"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1.281</w:t>
            </w:r>
          </w:p>
        </w:tc>
        <w:tc>
          <w:tcPr>
            <w:tcW w:w="1421" w:type="dxa"/>
            <w:tcBorders>
              <w:tl2br w:val="nil"/>
              <w:tr2bl w:val="nil"/>
            </w:tcBorders>
            <w:vAlign w:val="center"/>
          </w:tcPr>
          <w:p w14:paraId="7C09039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7.585</w:t>
            </w:r>
          </w:p>
        </w:tc>
        <w:tc>
          <w:tcPr>
            <w:tcW w:w="1421" w:type="dxa"/>
            <w:tcBorders>
              <w:tl2br w:val="nil"/>
              <w:tr2bl w:val="nil"/>
            </w:tcBorders>
            <w:vAlign w:val="center"/>
          </w:tcPr>
          <w:p w14:paraId="00DC8225"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12.200</w:t>
            </w:r>
          </w:p>
        </w:tc>
      </w:tr>
      <w:tr w:rsidR="005F07D1" w:rsidRPr="00B63B3A" w14:paraId="4130491A" w14:textId="77777777" w:rsidTr="00B63B3A">
        <w:trPr>
          <w:jc w:val="center"/>
        </w:trPr>
        <w:tc>
          <w:tcPr>
            <w:tcW w:w="1420" w:type="dxa"/>
            <w:tcBorders>
              <w:tl2br w:val="nil"/>
              <w:tr2bl w:val="nil"/>
            </w:tcBorders>
            <w:vAlign w:val="center"/>
          </w:tcPr>
          <w:p w14:paraId="1B3DB6C6"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ep</w:t>
            </w:r>
          </w:p>
        </w:tc>
        <w:tc>
          <w:tcPr>
            <w:tcW w:w="1420" w:type="dxa"/>
            <w:tcBorders>
              <w:tl2br w:val="nil"/>
              <w:tr2bl w:val="nil"/>
            </w:tcBorders>
            <w:vAlign w:val="center"/>
          </w:tcPr>
          <w:p w14:paraId="29998A42"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l2br w:val="nil"/>
              <w:tr2bl w:val="nil"/>
            </w:tcBorders>
            <w:vAlign w:val="center"/>
          </w:tcPr>
          <w:p w14:paraId="0259CA47"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4.618</w:t>
            </w:r>
          </w:p>
        </w:tc>
        <w:tc>
          <w:tcPr>
            <w:tcW w:w="1420" w:type="dxa"/>
            <w:tcBorders>
              <w:tl2br w:val="nil"/>
              <w:tr2bl w:val="nil"/>
            </w:tcBorders>
            <w:vAlign w:val="center"/>
          </w:tcPr>
          <w:p w14:paraId="49B1BBC7"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0.055</w:t>
            </w:r>
          </w:p>
        </w:tc>
        <w:tc>
          <w:tcPr>
            <w:tcW w:w="1421" w:type="dxa"/>
            <w:tcBorders>
              <w:tl2br w:val="nil"/>
              <w:tr2bl w:val="nil"/>
            </w:tcBorders>
            <w:vAlign w:val="center"/>
          </w:tcPr>
          <w:p w14:paraId="427DA969"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4.506</w:t>
            </w:r>
          </w:p>
        </w:tc>
        <w:tc>
          <w:tcPr>
            <w:tcW w:w="1421" w:type="dxa"/>
            <w:tcBorders>
              <w:tl2br w:val="nil"/>
              <w:tr2bl w:val="nil"/>
            </w:tcBorders>
            <w:vAlign w:val="center"/>
          </w:tcPr>
          <w:p w14:paraId="69D8E75A"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4.746</w:t>
            </w:r>
          </w:p>
        </w:tc>
      </w:tr>
      <w:tr w:rsidR="005F07D1" w:rsidRPr="00B63B3A" w14:paraId="770FBC9D" w14:textId="77777777" w:rsidTr="00B63B3A">
        <w:trPr>
          <w:jc w:val="center"/>
        </w:trPr>
        <w:tc>
          <w:tcPr>
            <w:tcW w:w="1420" w:type="dxa"/>
            <w:tcBorders>
              <w:tl2br w:val="nil"/>
              <w:tr2bl w:val="nil"/>
            </w:tcBorders>
            <w:vAlign w:val="center"/>
          </w:tcPr>
          <w:p w14:paraId="74714960" w14:textId="77777777" w:rsidR="005F07D1" w:rsidRPr="00B63B3A" w:rsidRDefault="00000000" w:rsidP="00B63B3A">
            <w:pPr>
              <w:ind w:firstLineChars="0" w:firstLine="0"/>
              <w:jc w:val="center"/>
              <w:rPr>
                <w:rFonts w:ascii="仿宋" w:eastAsia="仿宋" w:hAnsi="仿宋"/>
                <w:sz w:val="21"/>
                <w:szCs w:val="21"/>
              </w:rPr>
            </w:pPr>
            <w:proofErr w:type="spellStart"/>
            <w:r w:rsidRPr="00B63B3A">
              <w:rPr>
                <w:rFonts w:ascii="仿宋" w:eastAsia="仿宋" w:hAnsi="仿宋" w:hint="eastAsia"/>
                <w:sz w:val="21"/>
                <w:szCs w:val="21"/>
              </w:rPr>
              <w:t>edp</w:t>
            </w:r>
            <w:proofErr w:type="spellEnd"/>
          </w:p>
        </w:tc>
        <w:tc>
          <w:tcPr>
            <w:tcW w:w="1420" w:type="dxa"/>
            <w:tcBorders>
              <w:tl2br w:val="nil"/>
              <w:tr2bl w:val="nil"/>
            </w:tcBorders>
            <w:vAlign w:val="center"/>
          </w:tcPr>
          <w:p w14:paraId="3918ED66"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l2br w:val="nil"/>
              <w:tr2bl w:val="nil"/>
            </w:tcBorders>
            <w:vAlign w:val="center"/>
          </w:tcPr>
          <w:p w14:paraId="0C582FE9"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0.296</w:t>
            </w:r>
          </w:p>
        </w:tc>
        <w:tc>
          <w:tcPr>
            <w:tcW w:w="1420" w:type="dxa"/>
            <w:tcBorders>
              <w:tl2br w:val="nil"/>
              <w:tr2bl w:val="nil"/>
            </w:tcBorders>
            <w:vAlign w:val="center"/>
          </w:tcPr>
          <w:p w14:paraId="2E32A68F"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0.329</w:t>
            </w:r>
          </w:p>
        </w:tc>
        <w:tc>
          <w:tcPr>
            <w:tcW w:w="1421" w:type="dxa"/>
            <w:tcBorders>
              <w:tl2br w:val="nil"/>
              <w:tr2bl w:val="nil"/>
            </w:tcBorders>
            <w:vAlign w:val="center"/>
          </w:tcPr>
          <w:p w14:paraId="682C762B"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0.027</w:t>
            </w:r>
          </w:p>
        </w:tc>
        <w:tc>
          <w:tcPr>
            <w:tcW w:w="1421" w:type="dxa"/>
            <w:tcBorders>
              <w:tl2br w:val="nil"/>
              <w:tr2bl w:val="nil"/>
            </w:tcBorders>
            <w:vAlign w:val="center"/>
          </w:tcPr>
          <w:p w14:paraId="0CBE2EA2"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1.472</w:t>
            </w:r>
          </w:p>
        </w:tc>
      </w:tr>
      <w:tr w:rsidR="005F07D1" w:rsidRPr="00B63B3A" w14:paraId="3A7ADD80" w14:textId="77777777" w:rsidTr="00B63B3A">
        <w:trPr>
          <w:jc w:val="center"/>
        </w:trPr>
        <w:tc>
          <w:tcPr>
            <w:tcW w:w="1420" w:type="dxa"/>
            <w:tcBorders>
              <w:tl2br w:val="nil"/>
              <w:tr2bl w:val="nil"/>
            </w:tcBorders>
            <w:vAlign w:val="center"/>
          </w:tcPr>
          <w:p w14:paraId="31C3C2FB"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er</w:t>
            </w:r>
          </w:p>
        </w:tc>
        <w:tc>
          <w:tcPr>
            <w:tcW w:w="1420" w:type="dxa"/>
            <w:tcBorders>
              <w:tl2br w:val="nil"/>
              <w:tr2bl w:val="nil"/>
            </w:tcBorders>
            <w:vAlign w:val="center"/>
          </w:tcPr>
          <w:p w14:paraId="3E1BD90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121</w:t>
            </w:r>
          </w:p>
        </w:tc>
        <w:tc>
          <w:tcPr>
            <w:tcW w:w="1420" w:type="dxa"/>
            <w:tcBorders>
              <w:tl2br w:val="nil"/>
              <w:tr2bl w:val="nil"/>
            </w:tcBorders>
            <w:vAlign w:val="center"/>
          </w:tcPr>
          <w:p w14:paraId="4D626E3C"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0.002</w:t>
            </w:r>
          </w:p>
        </w:tc>
        <w:tc>
          <w:tcPr>
            <w:tcW w:w="1420" w:type="dxa"/>
            <w:tcBorders>
              <w:tl2br w:val="nil"/>
              <w:tr2bl w:val="nil"/>
            </w:tcBorders>
            <w:vAlign w:val="center"/>
          </w:tcPr>
          <w:p w14:paraId="542BDB92"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0.002</w:t>
            </w:r>
          </w:p>
        </w:tc>
        <w:tc>
          <w:tcPr>
            <w:tcW w:w="1421" w:type="dxa"/>
            <w:tcBorders>
              <w:tl2br w:val="nil"/>
              <w:tr2bl w:val="nil"/>
            </w:tcBorders>
            <w:vAlign w:val="center"/>
          </w:tcPr>
          <w:p w14:paraId="31935FD5"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0.001</w:t>
            </w:r>
          </w:p>
        </w:tc>
        <w:tc>
          <w:tcPr>
            <w:tcW w:w="1421" w:type="dxa"/>
            <w:tcBorders>
              <w:tl2br w:val="nil"/>
              <w:tr2bl w:val="nil"/>
            </w:tcBorders>
            <w:vAlign w:val="center"/>
          </w:tcPr>
          <w:p w14:paraId="7DD04884" w14:textId="77777777" w:rsidR="005F07D1" w:rsidRPr="00B63B3A" w:rsidRDefault="00000000" w:rsidP="00B63B3A">
            <w:pPr>
              <w:ind w:firstLineChars="0" w:firstLine="0"/>
              <w:jc w:val="center"/>
              <w:rPr>
                <w:rFonts w:ascii="仿宋" w:eastAsia="仿宋" w:hAnsi="仿宋"/>
                <w:sz w:val="21"/>
                <w:szCs w:val="21"/>
              </w:rPr>
            </w:pPr>
            <w:r w:rsidRPr="00B63B3A">
              <w:rPr>
                <w:rFonts w:ascii="仿宋" w:eastAsia="仿宋" w:hAnsi="仿宋" w:hint="eastAsia"/>
                <w:sz w:val="21"/>
                <w:szCs w:val="21"/>
              </w:rPr>
              <w:t>0.008</w:t>
            </w:r>
          </w:p>
        </w:tc>
      </w:tr>
    </w:tbl>
    <w:p w14:paraId="3709653F" w14:textId="7F906214" w:rsidR="005F07D1" w:rsidRDefault="00000000" w:rsidP="00B63B3A">
      <w:pPr>
        <w:rPr>
          <w:rFonts w:ascii="Calibri" w:hAnsi="Calibri"/>
          <w:sz w:val="18"/>
          <w:szCs w:val="18"/>
        </w:rPr>
      </w:pPr>
      <w:r>
        <w:rPr>
          <w:rFonts w:hint="eastAsia"/>
        </w:rPr>
        <w:t>由表可得，长江经济带不同地区的绿色金融发展水平差距并不是特别大，这主要是因为一方面受宏观经济政策的影响，长江经济带各省份地区都积极推动绿</w:t>
      </w:r>
      <w:r>
        <w:rPr>
          <w:rFonts w:hint="eastAsia"/>
        </w:rPr>
        <w:lastRenderedPageBreak/>
        <w:t>色金融发展，出台了一系列相关政策，为绿色金融提供了良好的政策环境。另一方面，长江经济带各省份地区之间有着密切的经济联系，利于区域之间资源共享。在绿色金融领域，各省份地区可以相互借鉴经验、共享资源，共同推动绿色金融的发展。能源结构指标表明不同省市地区的能源结构差距较大，一方面是因为长江经济带涵盖了多个省份和城市，各地的自然资源分布不均，这种资源禀赋的差异直接影响了各地区的能源结构。另一方面是因为长江经济带内的各地区经济发展水平和产业结构存在差异，使得不同省市所依赖的能源消费来源有所不同。</w:t>
      </w:r>
    </w:p>
    <w:p w14:paraId="7E7DFDAC" w14:textId="77777777" w:rsidR="005F07D1" w:rsidRDefault="00000000" w:rsidP="00B63B3A">
      <w:r>
        <w:rPr>
          <w:rFonts w:hint="eastAsia"/>
        </w:rPr>
        <w:t>在此分析基础上，本文进一步将长江经济</w:t>
      </w:r>
      <w:proofErr w:type="gramStart"/>
      <w:r>
        <w:rPr>
          <w:rFonts w:hint="eastAsia"/>
        </w:rPr>
        <w:t>带地区</w:t>
      </w:r>
      <w:proofErr w:type="gramEnd"/>
      <w:r>
        <w:rPr>
          <w:rFonts w:hint="eastAsia"/>
        </w:rPr>
        <w:t>划分为上、中、下游地区，进行绿色金融发展指数以及能源结构指数的测算分析。其中上游地区包括重庆市、四川省、贵州省以及云南省，中游地区包括安徽省、江西省、湖北省以及湖南省，下游地区包括上海市、江苏省以及浙江省。</w:t>
      </w:r>
    </w:p>
    <w:p w14:paraId="42799CE1" w14:textId="343CABA4" w:rsidR="005F07D1" w:rsidRDefault="00000000" w:rsidP="00B63B3A">
      <w:pPr>
        <w:jc w:val="center"/>
      </w:pPr>
      <w:r>
        <w:rPr>
          <w:rFonts w:hint="eastAsia"/>
          <w:noProof/>
        </w:rPr>
        <w:drawing>
          <wp:inline distT="0" distB="0" distL="0" distR="0" wp14:anchorId="410572C9" wp14:editId="1E660136">
            <wp:extent cx="4342765" cy="1685365"/>
            <wp:effectExtent l="0" t="0" r="635" b="0"/>
            <wp:docPr id="88468674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844512" w14:textId="77777777" w:rsidR="005F07D1" w:rsidRPr="00B63B3A" w:rsidRDefault="00000000" w:rsidP="00B63B3A">
      <w:pPr>
        <w:ind w:firstLine="360"/>
        <w:jc w:val="center"/>
        <w:rPr>
          <w:rFonts w:ascii="黑体" w:eastAsia="黑体" w:hAnsi="黑体"/>
          <w:sz w:val="18"/>
          <w:szCs w:val="18"/>
        </w:rPr>
      </w:pPr>
      <w:r w:rsidRPr="00B63B3A">
        <w:rPr>
          <w:rFonts w:ascii="黑体" w:eastAsia="黑体" w:hAnsi="黑体" w:hint="eastAsia"/>
          <w:sz w:val="18"/>
          <w:szCs w:val="18"/>
        </w:rPr>
        <w:t>图</w:t>
      </w:r>
      <w:r w:rsidRPr="00B63B3A">
        <w:rPr>
          <w:rFonts w:ascii="黑体" w:eastAsia="黑体" w:hAnsi="黑体"/>
          <w:sz w:val="18"/>
          <w:szCs w:val="18"/>
        </w:rPr>
        <w:t>1 2010-2020</w:t>
      </w:r>
      <w:r w:rsidRPr="00B63B3A">
        <w:rPr>
          <w:rFonts w:ascii="黑体" w:eastAsia="黑体" w:hAnsi="黑体" w:hint="eastAsia"/>
          <w:sz w:val="18"/>
          <w:szCs w:val="18"/>
        </w:rPr>
        <w:t>年长江经济带绿色金融发展指数分区域</w:t>
      </w:r>
    </w:p>
    <w:p w14:paraId="435A9B81" w14:textId="77777777" w:rsidR="005F07D1" w:rsidRDefault="00000000" w:rsidP="00B63B3A">
      <w:r>
        <w:rPr>
          <w:rFonts w:hint="eastAsia"/>
        </w:rPr>
        <w:t>图</w:t>
      </w:r>
      <w:r>
        <w:rPr>
          <w:rFonts w:hint="eastAsia"/>
        </w:rPr>
        <w:t>1</w:t>
      </w:r>
      <w:r>
        <w:rPr>
          <w:rFonts w:hint="eastAsia"/>
        </w:rPr>
        <w:t>反映了</w:t>
      </w:r>
      <w:r>
        <w:rPr>
          <w:rFonts w:hint="eastAsia"/>
        </w:rPr>
        <w:t>2010</w:t>
      </w:r>
      <w:r>
        <w:rPr>
          <w:rFonts w:hint="eastAsia"/>
        </w:rPr>
        <w:t>年至</w:t>
      </w:r>
      <w:r>
        <w:rPr>
          <w:rFonts w:hint="eastAsia"/>
        </w:rPr>
        <w:t>2020</w:t>
      </w:r>
      <w:r>
        <w:rPr>
          <w:rFonts w:hint="eastAsia"/>
        </w:rPr>
        <w:t>年长江经济带上中下游地区绿色金融发展水平的熵值法测算结果，其中数值越高，表示发展状况越良好。据图中分析可知，</w:t>
      </w:r>
      <w:r>
        <w:rPr>
          <w:rFonts w:hint="eastAsia"/>
        </w:rPr>
        <w:t>2010</w:t>
      </w:r>
      <w:r>
        <w:rPr>
          <w:rFonts w:hint="eastAsia"/>
        </w:rPr>
        <w:t>年至</w:t>
      </w:r>
      <w:r>
        <w:rPr>
          <w:rFonts w:hint="eastAsia"/>
        </w:rPr>
        <w:t>2020</w:t>
      </w:r>
      <w:r>
        <w:rPr>
          <w:rFonts w:hint="eastAsia"/>
        </w:rPr>
        <w:t>年长江中游与下游地区绿色金融发展指数为</w:t>
      </w:r>
      <w:r>
        <w:rPr>
          <w:rFonts w:hint="eastAsia"/>
        </w:rPr>
        <w:t>0.200935-0.278040</w:t>
      </w:r>
      <w:r>
        <w:rPr>
          <w:rFonts w:hint="eastAsia"/>
        </w:rPr>
        <w:t>，</w:t>
      </w:r>
      <w:r>
        <w:rPr>
          <w:rFonts w:hint="eastAsia"/>
        </w:rPr>
        <w:t>0.162230-0.254369</w:t>
      </w:r>
      <w:r>
        <w:rPr>
          <w:rFonts w:hint="eastAsia"/>
        </w:rPr>
        <w:t>，虽然偶尔出现波动下滑，但整体趋势呈现稳步向上的发展态势。长江上游</w:t>
      </w:r>
      <w:r>
        <w:rPr>
          <w:rFonts w:hint="eastAsia"/>
        </w:rPr>
        <w:t>2010</w:t>
      </w:r>
      <w:r>
        <w:rPr>
          <w:rFonts w:hint="eastAsia"/>
        </w:rPr>
        <w:t>年至</w:t>
      </w:r>
      <w:r>
        <w:rPr>
          <w:rFonts w:hint="eastAsia"/>
        </w:rPr>
        <w:t>2016</w:t>
      </w:r>
      <w:r>
        <w:rPr>
          <w:rFonts w:hint="eastAsia"/>
        </w:rPr>
        <w:t>年绿色金融发展指数为</w:t>
      </w:r>
      <w:r>
        <w:rPr>
          <w:rFonts w:hint="eastAsia"/>
        </w:rPr>
        <w:t>0.276813-0.227249</w:t>
      </w:r>
      <w:r>
        <w:rPr>
          <w:rFonts w:hint="eastAsia"/>
        </w:rPr>
        <w:t>，偶尔上浮，但整体趋势呈现稳步下滑的态势。值得注意的是，</w:t>
      </w:r>
      <w:r>
        <w:rPr>
          <w:rFonts w:hint="eastAsia"/>
        </w:rPr>
        <w:t>2017</w:t>
      </w:r>
      <w:r>
        <w:rPr>
          <w:rFonts w:hint="eastAsia"/>
        </w:rPr>
        <w:t>年绿色金融发展指数出现了异常的激增，相较于</w:t>
      </w:r>
      <w:proofErr w:type="gramStart"/>
      <w:r>
        <w:rPr>
          <w:rFonts w:hint="eastAsia"/>
        </w:rPr>
        <w:t>前年实现</w:t>
      </w:r>
      <w:proofErr w:type="gramEnd"/>
      <w:r>
        <w:rPr>
          <w:rFonts w:hint="eastAsia"/>
        </w:rPr>
        <w:t>了高达</w:t>
      </w:r>
      <w:r>
        <w:rPr>
          <w:rFonts w:hint="eastAsia"/>
        </w:rPr>
        <w:t>87%</w:t>
      </w:r>
      <w:r>
        <w:rPr>
          <w:rFonts w:hint="eastAsia"/>
        </w:rPr>
        <w:t>的提升幅度，但后续年份逐渐递减至</w:t>
      </w:r>
      <w:r>
        <w:rPr>
          <w:rFonts w:hint="eastAsia"/>
        </w:rPr>
        <w:t>2020</w:t>
      </w:r>
      <w:r>
        <w:rPr>
          <w:rFonts w:hint="eastAsia"/>
        </w:rPr>
        <w:t>年的</w:t>
      </w:r>
      <w:r>
        <w:rPr>
          <w:rFonts w:hint="eastAsia"/>
        </w:rPr>
        <w:t>0.364431</w:t>
      </w:r>
      <w:r>
        <w:rPr>
          <w:rFonts w:hint="eastAsia"/>
        </w:rPr>
        <w:t>。长江上中下游横向对比，绿色金融发展态势存在一定的差异。总体来看，长江中游与下游地区的绿色金融发展态势较为相似，呈现大体上增长的状况，就绿色金融发展的状态而言，上游地区普遍优于中下游地区。相比之下，上游地区的发展态势则呈现下降的趋势，但在</w:t>
      </w:r>
      <w:r>
        <w:rPr>
          <w:rFonts w:hint="eastAsia"/>
        </w:rPr>
        <w:t>2017</w:t>
      </w:r>
      <w:r>
        <w:rPr>
          <w:rFonts w:hint="eastAsia"/>
        </w:rPr>
        <w:t>年出现了激增的情况。通过研究分析可得，我国长江经济带各地区的绿色金融发展水平整体上均呈现波动式上升的趋势。这不仅得益于市场主体的积极参与和金融行业的创新，更离不开政策的引导和支持，包括设立绿色金融专项资金、完善绿色金融监管体系、推动绿色金融产品创新等。这些政策的出台为长江经济带的绿色金融发展提供了有</w:t>
      </w:r>
      <w:r>
        <w:rPr>
          <w:rFonts w:hint="eastAsia"/>
        </w:rPr>
        <w:lastRenderedPageBreak/>
        <w:t>力的政策保障。</w:t>
      </w:r>
    </w:p>
    <w:p w14:paraId="29A963C5" w14:textId="4249457F" w:rsidR="005F07D1" w:rsidRDefault="00000000" w:rsidP="00C65393">
      <w:r>
        <w:rPr>
          <w:rFonts w:hint="eastAsia"/>
        </w:rPr>
        <w:t>为了深入探究</w:t>
      </w:r>
      <w:r>
        <w:rPr>
          <w:rFonts w:hint="eastAsia"/>
        </w:rPr>
        <w:t>2017</w:t>
      </w:r>
      <w:r>
        <w:rPr>
          <w:rFonts w:hint="eastAsia"/>
        </w:rPr>
        <w:t>年长江经济带上游地区绿色金融发展指数大幅改善的原因，本文对长江上游地区的绿色金融发展指数按省份进行了详细的分析，得到了图</w:t>
      </w:r>
      <w:r>
        <w:rPr>
          <w:rFonts w:hint="eastAsia"/>
        </w:rPr>
        <w:t>2</w:t>
      </w:r>
      <w:r>
        <w:rPr>
          <w:rFonts w:hint="eastAsia"/>
        </w:rPr>
        <w:t>。根据本文所收集到的资料可得，造成云南省绿色金融发展水平大幅变化的原因可能是因为在</w:t>
      </w:r>
      <w:r>
        <w:rPr>
          <w:rFonts w:hint="eastAsia"/>
        </w:rPr>
        <w:t>2017</w:t>
      </w:r>
      <w:r>
        <w:rPr>
          <w:rFonts w:hint="eastAsia"/>
        </w:rPr>
        <w:t>年该地区针对绿色信贷与绿色金融行业出台了大量扶持政策。这些政策的出台为云南省的绿色金融发展提供了有力的支持，使得该地区的绿色金融发展水平在短时间内大幅度改善。</w:t>
      </w:r>
    </w:p>
    <w:p w14:paraId="6265416C" w14:textId="348F5DA7" w:rsidR="005F07D1" w:rsidRDefault="00000000" w:rsidP="00B63B3A">
      <w:pPr>
        <w:jc w:val="center"/>
      </w:pPr>
      <w:r>
        <w:rPr>
          <w:rFonts w:hint="eastAsia"/>
          <w:noProof/>
        </w:rPr>
        <w:drawing>
          <wp:inline distT="0" distB="0" distL="0" distR="0" wp14:anchorId="79107A5A" wp14:editId="7FFA9DB0">
            <wp:extent cx="4071620" cy="1600200"/>
            <wp:effectExtent l="0" t="0" r="5080" b="0"/>
            <wp:docPr id="139606585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C45B25" w14:textId="6B456B96" w:rsidR="005F07D1" w:rsidRPr="00C65393" w:rsidRDefault="00000000" w:rsidP="00C65393">
      <w:pPr>
        <w:ind w:firstLine="360"/>
        <w:jc w:val="center"/>
        <w:rPr>
          <w:rFonts w:ascii="黑体" w:eastAsia="黑体" w:hAnsi="黑体"/>
          <w:sz w:val="18"/>
          <w:szCs w:val="18"/>
        </w:rPr>
      </w:pPr>
      <w:r w:rsidRPr="00B63B3A">
        <w:rPr>
          <w:rFonts w:ascii="黑体" w:eastAsia="黑体" w:hAnsi="黑体" w:hint="eastAsia"/>
          <w:sz w:val="18"/>
          <w:szCs w:val="18"/>
        </w:rPr>
        <w:t>图</w:t>
      </w:r>
      <w:r w:rsidRPr="00B63B3A">
        <w:rPr>
          <w:rFonts w:ascii="黑体" w:eastAsia="黑体" w:hAnsi="黑体"/>
          <w:sz w:val="18"/>
          <w:szCs w:val="18"/>
        </w:rPr>
        <w:t>2 2010-2020</w:t>
      </w:r>
      <w:r w:rsidRPr="00B63B3A">
        <w:rPr>
          <w:rFonts w:ascii="黑体" w:eastAsia="黑体" w:hAnsi="黑体" w:hint="eastAsia"/>
          <w:sz w:val="18"/>
          <w:szCs w:val="18"/>
        </w:rPr>
        <w:t>年长江上游绿色金融发展指数分省区</w:t>
      </w:r>
    </w:p>
    <w:p w14:paraId="69E972DB" w14:textId="77777777" w:rsidR="005F07D1" w:rsidRDefault="00000000" w:rsidP="00B63B3A">
      <w:pPr>
        <w:jc w:val="center"/>
      </w:pPr>
      <w:r>
        <w:rPr>
          <w:rFonts w:hint="eastAsia"/>
          <w:noProof/>
        </w:rPr>
        <w:drawing>
          <wp:inline distT="0" distB="0" distL="0" distR="0" wp14:anchorId="1F9CE64A" wp14:editId="564E5549">
            <wp:extent cx="3952240" cy="1537854"/>
            <wp:effectExtent l="0" t="0" r="0" b="5715"/>
            <wp:docPr id="213338538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82249" w14:textId="77777777" w:rsidR="005F07D1" w:rsidRPr="00B63B3A" w:rsidRDefault="00000000" w:rsidP="00B63B3A">
      <w:pPr>
        <w:ind w:firstLine="360"/>
        <w:jc w:val="center"/>
        <w:rPr>
          <w:rFonts w:ascii="黑体" w:eastAsia="黑体" w:hAnsi="黑体"/>
          <w:sz w:val="18"/>
          <w:szCs w:val="18"/>
        </w:rPr>
      </w:pPr>
      <w:r w:rsidRPr="00B63B3A">
        <w:rPr>
          <w:rFonts w:ascii="黑体" w:eastAsia="黑体" w:hAnsi="黑体" w:hint="eastAsia"/>
          <w:sz w:val="18"/>
          <w:szCs w:val="18"/>
        </w:rPr>
        <w:t>图</w:t>
      </w:r>
      <w:r w:rsidRPr="00B63B3A">
        <w:rPr>
          <w:rFonts w:ascii="黑体" w:eastAsia="黑体" w:hAnsi="黑体"/>
          <w:sz w:val="18"/>
          <w:szCs w:val="18"/>
        </w:rPr>
        <w:t>3 2010-2020</w:t>
      </w:r>
      <w:r w:rsidRPr="00B63B3A">
        <w:rPr>
          <w:rFonts w:ascii="黑体" w:eastAsia="黑体" w:hAnsi="黑体" w:hint="eastAsia"/>
          <w:sz w:val="18"/>
          <w:szCs w:val="18"/>
        </w:rPr>
        <w:t>年长江经济带能源消费结构分区域</w:t>
      </w:r>
    </w:p>
    <w:p w14:paraId="4342CD27" w14:textId="67CEB53E" w:rsidR="005F07D1" w:rsidRDefault="00000000" w:rsidP="00B63B3A">
      <w:r>
        <w:rPr>
          <w:rFonts w:hint="eastAsia"/>
        </w:rPr>
        <w:t>图</w:t>
      </w:r>
      <w:r>
        <w:rPr>
          <w:rFonts w:hint="eastAsia"/>
        </w:rPr>
        <w:t>3</w:t>
      </w:r>
      <w:r>
        <w:rPr>
          <w:rFonts w:hint="eastAsia"/>
        </w:rPr>
        <w:t>展示了</w:t>
      </w:r>
      <w:r>
        <w:rPr>
          <w:rFonts w:hint="eastAsia"/>
        </w:rPr>
        <w:t>2010</w:t>
      </w:r>
      <w:r>
        <w:rPr>
          <w:rFonts w:hint="eastAsia"/>
        </w:rPr>
        <w:t>年至</w:t>
      </w:r>
      <w:r>
        <w:rPr>
          <w:rFonts w:hint="eastAsia"/>
        </w:rPr>
        <w:t>2020</w:t>
      </w:r>
      <w:r>
        <w:rPr>
          <w:rFonts w:hint="eastAsia"/>
        </w:rPr>
        <w:t>年长江经济带能源消费结构的水平。数值越小，代表能源消费结构越优。研究显示，长江经济带的能源消费结构优化与升级水平在此期间呈现稳定的上升趋势。具体来看，上游地区的能源消费结构指数范围在</w:t>
      </w:r>
      <w:r>
        <w:rPr>
          <w:rFonts w:hint="eastAsia"/>
        </w:rPr>
        <w:t>1.241982</w:t>
      </w:r>
      <w:r>
        <w:rPr>
          <w:rFonts w:hint="eastAsia"/>
        </w:rPr>
        <w:t>至</w:t>
      </w:r>
      <w:r>
        <w:rPr>
          <w:rFonts w:hint="eastAsia"/>
        </w:rPr>
        <w:t>1.689780</w:t>
      </w:r>
      <w:r>
        <w:rPr>
          <w:rFonts w:hint="eastAsia"/>
        </w:rPr>
        <w:t>之间，中游地区为</w:t>
      </w:r>
      <w:r>
        <w:rPr>
          <w:rFonts w:hint="eastAsia"/>
        </w:rPr>
        <w:t>2.412483</w:t>
      </w:r>
      <w:r>
        <w:rPr>
          <w:rFonts w:hint="eastAsia"/>
        </w:rPr>
        <w:t>至</w:t>
      </w:r>
      <w:r>
        <w:rPr>
          <w:rFonts w:hint="eastAsia"/>
        </w:rPr>
        <w:t>2.930723</w:t>
      </w:r>
      <w:r>
        <w:rPr>
          <w:rFonts w:hint="eastAsia"/>
        </w:rPr>
        <w:t>之间，而下游地区则在</w:t>
      </w:r>
      <w:r>
        <w:rPr>
          <w:rFonts w:hint="eastAsia"/>
        </w:rPr>
        <w:t>1.947562</w:t>
      </w:r>
      <w:r>
        <w:rPr>
          <w:rFonts w:hint="eastAsia"/>
        </w:rPr>
        <w:t>至</w:t>
      </w:r>
      <w:r>
        <w:rPr>
          <w:rFonts w:hint="eastAsia"/>
        </w:rPr>
        <w:t>2.764560</w:t>
      </w:r>
      <w:r>
        <w:rPr>
          <w:rFonts w:hint="eastAsia"/>
        </w:rPr>
        <w:t>之间。在能源消费结构优化与升级水平上，上游地区表现最优，下游地区次之，而中游地区最次。值得注意的是，下游地区的能源消费结构改善速度最为迅速，与上游地区的差距逐年减小。中游和下游地区的能源消费结构指数发展态势相似。通过研究可得，下游地区在能源消费结构优化与升级水平上的领先地位，与其地理位置和经济发展水平密切相关。位于长江经济带下游的地区，涵盖了上海、江苏等经济大省，这些地区以其强大的经济实力作为发展动力。此外，得益于国家的大力政策支持，长江下游地区拥有了最为合理的能源</w:t>
      </w:r>
      <w:r>
        <w:rPr>
          <w:rFonts w:hint="eastAsia"/>
        </w:rPr>
        <w:lastRenderedPageBreak/>
        <w:t>布局与绿色金融发展策略。同时，近年来，长江上游地区逐渐成为国家发展的重点区域，吸引了众多清洁能源企业在此布局，这使得上游地区在短短十年内实现了能源消费结构的显著改善。</w:t>
      </w:r>
    </w:p>
    <w:p w14:paraId="74C53977" w14:textId="1F07B59A" w:rsidR="005F07D1" w:rsidRDefault="00B63B3A" w:rsidP="00B63B3A">
      <w:pPr>
        <w:pStyle w:val="2"/>
        <w:ind w:firstLine="482"/>
      </w:pPr>
      <w:r>
        <w:rPr>
          <w:rFonts w:hint="eastAsia"/>
        </w:rPr>
        <w:t>（三）多重共线性检验</w:t>
      </w:r>
    </w:p>
    <w:p w14:paraId="58F7A06A" w14:textId="62AAC91E" w:rsidR="005F07D1" w:rsidRDefault="00000000" w:rsidP="00B63B3A">
      <w:r>
        <w:rPr>
          <w:rFonts w:hint="eastAsia"/>
        </w:rPr>
        <w:t>在进行基准回归分析之前</w:t>
      </w:r>
      <w:r>
        <w:rPr>
          <w:rFonts w:hint="eastAsia"/>
        </w:rPr>
        <w:t>,</w:t>
      </w:r>
      <w:r>
        <w:rPr>
          <w:rFonts w:hint="eastAsia"/>
        </w:rPr>
        <w:t>为了保证本文所选变量指标的科学性</w:t>
      </w:r>
      <w:r>
        <w:rPr>
          <w:rFonts w:hint="eastAsia"/>
        </w:rPr>
        <w:t>,</w:t>
      </w:r>
      <w:r>
        <w:rPr>
          <w:rFonts w:hint="eastAsia"/>
        </w:rPr>
        <w:t>本文首先对变量数据进行了多重共线性检验</w:t>
      </w:r>
      <w:r>
        <w:rPr>
          <w:rFonts w:hint="eastAsia"/>
        </w:rPr>
        <w:t>,</w:t>
      </w:r>
      <w:r>
        <w:rPr>
          <w:rFonts w:hint="eastAsia"/>
        </w:rPr>
        <w:t>结果如表</w:t>
      </w:r>
      <w:r>
        <w:rPr>
          <w:rFonts w:hint="eastAsia"/>
        </w:rPr>
        <w:t>2</w:t>
      </w:r>
      <w:r>
        <w:rPr>
          <w:rFonts w:hint="eastAsia"/>
        </w:rPr>
        <w:t>所示。表中</w:t>
      </w:r>
      <w:r>
        <w:rPr>
          <w:rFonts w:hint="eastAsia"/>
        </w:rPr>
        <w:t>VIF</w:t>
      </w:r>
      <w:r>
        <w:rPr>
          <w:rFonts w:hint="eastAsia"/>
        </w:rPr>
        <w:t>的最大值为</w:t>
      </w:r>
      <w:r>
        <w:rPr>
          <w:rFonts w:hint="eastAsia"/>
        </w:rPr>
        <w:t>6.53</w:t>
      </w:r>
      <w:r>
        <w:rPr>
          <w:rFonts w:hint="eastAsia"/>
        </w:rPr>
        <w:t>，该</w:t>
      </w:r>
      <w:r>
        <w:rPr>
          <w:rFonts w:hint="eastAsia"/>
        </w:rPr>
        <w:t>VIF</w:t>
      </w:r>
      <w:r>
        <w:rPr>
          <w:rFonts w:hint="eastAsia"/>
        </w:rPr>
        <w:t>值小于</w:t>
      </w:r>
      <w:r>
        <w:rPr>
          <w:rFonts w:hint="eastAsia"/>
        </w:rPr>
        <w:t>10</w:t>
      </w:r>
      <w:r>
        <w:rPr>
          <w:rFonts w:hint="eastAsia"/>
        </w:rPr>
        <w:t>，说明选取的变量之间不存在多重共线性问题。</w:t>
      </w:r>
    </w:p>
    <w:p w14:paraId="2ED1F9A5" w14:textId="497818A3" w:rsidR="005F07D1" w:rsidRPr="00B63B3A" w:rsidRDefault="00000000" w:rsidP="00B63B3A">
      <w:pPr>
        <w:ind w:firstLine="420"/>
        <w:jc w:val="center"/>
        <w:rPr>
          <w:rFonts w:ascii="仿宋" w:eastAsia="仿宋" w:hAnsi="仿宋"/>
          <w:sz w:val="21"/>
          <w:szCs w:val="21"/>
        </w:rPr>
      </w:pPr>
      <w:r w:rsidRPr="00B63B3A">
        <w:rPr>
          <w:rFonts w:ascii="仿宋" w:eastAsia="仿宋" w:hAnsi="仿宋" w:hint="eastAsia"/>
          <w:sz w:val="21"/>
          <w:szCs w:val="21"/>
        </w:rPr>
        <w:t>表</w:t>
      </w:r>
      <w:r w:rsidR="00760256">
        <w:rPr>
          <w:rFonts w:ascii="仿宋" w:eastAsia="仿宋" w:hAnsi="仿宋"/>
          <w:sz w:val="21"/>
          <w:szCs w:val="21"/>
        </w:rPr>
        <w:t>3</w:t>
      </w:r>
      <w:r w:rsidRPr="00B63B3A">
        <w:rPr>
          <w:rFonts w:ascii="仿宋" w:eastAsia="仿宋" w:hAnsi="仿宋" w:hint="eastAsia"/>
          <w:sz w:val="21"/>
          <w:szCs w:val="21"/>
        </w:rPr>
        <w:t xml:space="preserve"> 多重共线性检验</w:t>
      </w:r>
    </w:p>
    <w:tbl>
      <w:tblPr>
        <w:tblStyle w:val="a7"/>
        <w:tblW w:w="0" w:type="auto"/>
        <w:jc w:val="center"/>
        <w:tblInd w:w="0" w:type="dxa"/>
        <w:tblBorders>
          <w:left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1134"/>
        <w:gridCol w:w="1134"/>
        <w:gridCol w:w="2044"/>
      </w:tblGrid>
      <w:tr w:rsidR="005F07D1" w:rsidRPr="00B63B3A" w14:paraId="7899F3A2" w14:textId="77777777" w:rsidTr="00247D6D">
        <w:trPr>
          <w:jc w:val="center"/>
        </w:trPr>
        <w:tc>
          <w:tcPr>
            <w:tcW w:w="1134" w:type="dxa"/>
            <w:tcBorders>
              <w:bottom w:val="single" w:sz="4" w:space="0" w:color="000000"/>
              <w:tl2br w:val="nil"/>
              <w:tr2bl w:val="nil"/>
            </w:tcBorders>
            <w:vAlign w:val="center"/>
          </w:tcPr>
          <w:p w14:paraId="48630170" w14:textId="77777777" w:rsidR="005F07D1" w:rsidRPr="00760256" w:rsidRDefault="00000000" w:rsidP="00247D6D">
            <w:pPr>
              <w:ind w:firstLine="422"/>
              <w:rPr>
                <w:rFonts w:ascii="仿宋" w:eastAsia="仿宋" w:hAnsi="仿宋"/>
                <w:b/>
                <w:bCs/>
                <w:sz w:val="21"/>
                <w:szCs w:val="21"/>
              </w:rPr>
            </w:pPr>
            <w:r w:rsidRPr="00760256">
              <w:rPr>
                <w:rFonts w:ascii="仿宋" w:eastAsia="仿宋" w:hAnsi="仿宋" w:hint="eastAsia"/>
                <w:b/>
                <w:bCs/>
                <w:sz w:val="21"/>
                <w:szCs w:val="21"/>
              </w:rPr>
              <w:t>变量</w:t>
            </w:r>
          </w:p>
        </w:tc>
        <w:tc>
          <w:tcPr>
            <w:tcW w:w="1134" w:type="dxa"/>
            <w:tcBorders>
              <w:bottom w:val="single" w:sz="4" w:space="0" w:color="000000"/>
              <w:tl2br w:val="nil"/>
              <w:tr2bl w:val="nil"/>
            </w:tcBorders>
            <w:vAlign w:val="center"/>
          </w:tcPr>
          <w:p w14:paraId="193AFF01" w14:textId="77777777" w:rsidR="005F07D1" w:rsidRPr="00760256" w:rsidRDefault="00000000" w:rsidP="00247D6D">
            <w:pPr>
              <w:ind w:firstLine="422"/>
              <w:rPr>
                <w:rFonts w:ascii="仿宋" w:eastAsia="仿宋" w:hAnsi="仿宋"/>
                <w:b/>
                <w:bCs/>
                <w:sz w:val="21"/>
                <w:szCs w:val="21"/>
              </w:rPr>
            </w:pPr>
            <w:r w:rsidRPr="00760256">
              <w:rPr>
                <w:rFonts w:ascii="仿宋" w:eastAsia="仿宋" w:hAnsi="仿宋" w:hint="eastAsia"/>
                <w:b/>
                <w:bCs/>
                <w:sz w:val="21"/>
                <w:szCs w:val="21"/>
              </w:rPr>
              <w:t>VIF</w:t>
            </w:r>
          </w:p>
        </w:tc>
        <w:tc>
          <w:tcPr>
            <w:tcW w:w="2044" w:type="dxa"/>
            <w:tcBorders>
              <w:bottom w:val="single" w:sz="4" w:space="0" w:color="000000"/>
              <w:tl2br w:val="nil"/>
              <w:tr2bl w:val="nil"/>
            </w:tcBorders>
            <w:vAlign w:val="center"/>
          </w:tcPr>
          <w:p w14:paraId="075590A0" w14:textId="77777777" w:rsidR="005F07D1" w:rsidRPr="00760256" w:rsidRDefault="00000000" w:rsidP="00247D6D">
            <w:pPr>
              <w:ind w:firstLine="422"/>
              <w:rPr>
                <w:rFonts w:ascii="仿宋" w:eastAsia="仿宋" w:hAnsi="仿宋"/>
                <w:b/>
                <w:bCs/>
                <w:sz w:val="21"/>
                <w:szCs w:val="21"/>
              </w:rPr>
            </w:pPr>
            <w:r w:rsidRPr="00760256">
              <w:rPr>
                <w:rFonts w:ascii="仿宋" w:eastAsia="仿宋" w:hAnsi="仿宋" w:hint="eastAsia"/>
                <w:b/>
                <w:bCs/>
                <w:sz w:val="21"/>
                <w:szCs w:val="21"/>
              </w:rPr>
              <w:t>1/VIF</w:t>
            </w:r>
          </w:p>
        </w:tc>
      </w:tr>
      <w:tr w:rsidR="005F07D1" w:rsidRPr="00B63B3A" w14:paraId="780BD53C" w14:textId="77777777" w:rsidTr="00247D6D">
        <w:trPr>
          <w:jc w:val="center"/>
        </w:trPr>
        <w:tc>
          <w:tcPr>
            <w:tcW w:w="1134" w:type="dxa"/>
            <w:tcBorders>
              <w:top w:val="single" w:sz="4" w:space="0" w:color="000000"/>
              <w:tl2br w:val="nil"/>
              <w:tr2bl w:val="nil"/>
            </w:tcBorders>
            <w:vAlign w:val="center"/>
          </w:tcPr>
          <w:p w14:paraId="45247FD1"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GF</w:t>
            </w:r>
          </w:p>
        </w:tc>
        <w:tc>
          <w:tcPr>
            <w:tcW w:w="1134" w:type="dxa"/>
            <w:tcBorders>
              <w:top w:val="single" w:sz="4" w:space="0" w:color="000000"/>
              <w:tl2br w:val="nil"/>
              <w:tr2bl w:val="nil"/>
            </w:tcBorders>
            <w:vAlign w:val="center"/>
          </w:tcPr>
          <w:p w14:paraId="24485968"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1.09</w:t>
            </w:r>
          </w:p>
        </w:tc>
        <w:tc>
          <w:tcPr>
            <w:tcW w:w="2044" w:type="dxa"/>
            <w:tcBorders>
              <w:top w:val="single" w:sz="4" w:space="0" w:color="000000"/>
              <w:tl2br w:val="nil"/>
              <w:tr2bl w:val="nil"/>
            </w:tcBorders>
            <w:vAlign w:val="center"/>
          </w:tcPr>
          <w:p w14:paraId="069AB484"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0.921080</w:t>
            </w:r>
          </w:p>
        </w:tc>
      </w:tr>
      <w:tr w:rsidR="005F07D1" w:rsidRPr="00B63B3A" w14:paraId="34C842F9" w14:textId="77777777" w:rsidTr="00247D6D">
        <w:trPr>
          <w:jc w:val="center"/>
        </w:trPr>
        <w:tc>
          <w:tcPr>
            <w:tcW w:w="1134" w:type="dxa"/>
            <w:tcBorders>
              <w:tl2br w:val="nil"/>
              <w:tr2bl w:val="nil"/>
            </w:tcBorders>
            <w:vAlign w:val="center"/>
          </w:tcPr>
          <w:p w14:paraId="79006238"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ep</w:t>
            </w:r>
          </w:p>
        </w:tc>
        <w:tc>
          <w:tcPr>
            <w:tcW w:w="1134" w:type="dxa"/>
            <w:tcBorders>
              <w:tl2br w:val="nil"/>
              <w:tr2bl w:val="nil"/>
            </w:tcBorders>
            <w:vAlign w:val="center"/>
          </w:tcPr>
          <w:p w14:paraId="1EC4EF43"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1.06</w:t>
            </w:r>
          </w:p>
        </w:tc>
        <w:tc>
          <w:tcPr>
            <w:tcW w:w="2044" w:type="dxa"/>
            <w:tcBorders>
              <w:tl2br w:val="nil"/>
              <w:tr2bl w:val="nil"/>
            </w:tcBorders>
            <w:vAlign w:val="center"/>
          </w:tcPr>
          <w:p w14:paraId="041BACFE"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0.939182</w:t>
            </w:r>
          </w:p>
        </w:tc>
      </w:tr>
      <w:tr w:rsidR="005F07D1" w:rsidRPr="00B63B3A" w14:paraId="3E7ADE51" w14:textId="77777777" w:rsidTr="00247D6D">
        <w:trPr>
          <w:jc w:val="center"/>
        </w:trPr>
        <w:tc>
          <w:tcPr>
            <w:tcW w:w="1134" w:type="dxa"/>
            <w:tcBorders>
              <w:tl2br w:val="nil"/>
              <w:tr2bl w:val="nil"/>
            </w:tcBorders>
            <w:vAlign w:val="center"/>
          </w:tcPr>
          <w:p w14:paraId="01BE14DD"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es</w:t>
            </w:r>
          </w:p>
        </w:tc>
        <w:tc>
          <w:tcPr>
            <w:tcW w:w="1134" w:type="dxa"/>
            <w:tcBorders>
              <w:tl2br w:val="nil"/>
              <w:tr2bl w:val="nil"/>
            </w:tcBorders>
            <w:vAlign w:val="center"/>
          </w:tcPr>
          <w:p w14:paraId="743323EB"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6.53</w:t>
            </w:r>
          </w:p>
        </w:tc>
        <w:tc>
          <w:tcPr>
            <w:tcW w:w="2044" w:type="dxa"/>
            <w:tcBorders>
              <w:tl2br w:val="nil"/>
              <w:tr2bl w:val="nil"/>
            </w:tcBorders>
            <w:vAlign w:val="center"/>
          </w:tcPr>
          <w:p w14:paraId="68F5F312"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0.153164</w:t>
            </w:r>
          </w:p>
        </w:tc>
      </w:tr>
      <w:tr w:rsidR="005F07D1" w:rsidRPr="00B63B3A" w14:paraId="0A01BBC4" w14:textId="77777777" w:rsidTr="00247D6D">
        <w:trPr>
          <w:jc w:val="center"/>
        </w:trPr>
        <w:tc>
          <w:tcPr>
            <w:tcW w:w="1134" w:type="dxa"/>
            <w:tcBorders>
              <w:tl2br w:val="nil"/>
              <w:tr2bl w:val="nil"/>
            </w:tcBorders>
            <w:vAlign w:val="center"/>
          </w:tcPr>
          <w:p w14:paraId="0AAFAF08" w14:textId="77777777" w:rsidR="005F07D1" w:rsidRPr="00B63B3A" w:rsidRDefault="00000000" w:rsidP="00247D6D">
            <w:pPr>
              <w:ind w:firstLine="420"/>
              <w:rPr>
                <w:rFonts w:ascii="仿宋" w:eastAsia="仿宋" w:hAnsi="仿宋"/>
                <w:sz w:val="21"/>
                <w:szCs w:val="21"/>
              </w:rPr>
            </w:pPr>
            <w:proofErr w:type="spellStart"/>
            <w:r w:rsidRPr="00B63B3A">
              <w:rPr>
                <w:rFonts w:ascii="仿宋" w:eastAsia="仿宋" w:hAnsi="仿宋" w:hint="eastAsia"/>
                <w:sz w:val="21"/>
                <w:szCs w:val="21"/>
              </w:rPr>
              <w:t>edp</w:t>
            </w:r>
            <w:proofErr w:type="spellEnd"/>
          </w:p>
        </w:tc>
        <w:tc>
          <w:tcPr>
            <w:tcW w:w="1134" w:type="dxa"/>
            <w:tcBorders>
              <w:tl2br w:val="nil"/>
              <w:tr2bl w:val="nil"/>
            </w:tcBorders>
            <w:vAlign w:val="center"/>
          </w:tcPr>
          <w:p w14:paraId="10DA8513"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6.43</w:t>
            </w:r>
          </w:p>
        </w:tc>
        <w:tc>
          <w:tcPr>
            <w:tcW w:w="2044" w:type="dxa"/>
            <w:tcBorders>
              <w:tl2br w:val="nil"/>
              <w:tr2bl w:val="nil"/>
            </w:tcBorders>
            <w:vAlign w:val="center"/>
          </w:tcPr>
          <w:p w14:paraId="2A2FE21A"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0.155616</w:t>
            </w:r>
          </w:p>
        </w:tc>
      </w:tr>
      <w:tr w:rsidR="005F07D1" w:rsidRPr="00B63B3A" w14:paraId="7C5A7AC7" w14:textId="77777777" w:rsidTr="00247D6D">
        <w:trPr>
          <w:jc w:val="center"/>
        </w:trPr>
        <w:tc>
          <w:tcPr>
            <w:tcW w:w="1134" w:type="dxa"/>
            <w:tcBorders>
              <w:tl2br w:val="nil"/>
              <w:tr2bl w:val="nil"/>
            </w:tcBorders>
            <w:vAlign w:val="center"/>
          </w:tcPr>
          <w:p w14:paraId="7F8D0A24"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er</w:t>
            </w:r>
          </w:p>
        </w:tc>
        <w:tc>
          <w:tcPr>
            <w:tcW w:w="1134" w:type="dxa"/>
            <w:tcBorders>
              <w:tl2br w:val="nil"/>
              <w:tr2bl w:val="nil"/>
            </w:tcBorders>
            <w:vAlign w:val="center"/>
          </w:tcPr>
          <w:p w14:paraId="60CB1344" w14:textId="77777777" w:rsidR="005F07D1" w:rsidRPr="00B63B3A" w:rsidRDefault="00000000" w:rsidP="00247D6D">
            <w:pPr>
              <w:ind w:firstLine="420"/>
              <w:rPr>
                <w:rFonts w:ascii="仿宋" w:eastAsia="仿宋" w:hAnsi="仿宋" w:cs="等线"/>
                <w:color w:val="000000"/>
                <w:sz w:val="21"/>
                <w:szCs w:val="21"/>
              </w:rPr>
            </w:pPr>
            <w:r w:rsidRPr="00B63B3A">
              <w:rPr>
                <w:rFonts w:ascii="仿宋" w:eastAsia="仿宋" w:hAnsi="仿宋" w:hint="eastAsia"/>
                <w:sz w:val="21"/>
                <w:szCs w:val="21"/>
              </w:rPr>
              <w:t>1.07</w:t>
            </w:r>
          </w:p>
        </w:tc>
        <w:tc>
          <w:tcPr>
            <w:tcW w:w="2044" w:type="dxa"/>
            <w:tcBorders>
              <w:tl2br w:val="nil"/>
              <w:tr2bl w:val="nil"/>
            </w:tcBorders>
            <w:vAlign w:val="center"/>
          </w:tcPr>
          <w:p w14:paraId="69AF1235"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0.938272</w:t>
            </w:r>
          </w:p>
        </w:tc>
      </w:tr>
      <w:tr w:rsidR="005F07D1" w:rsidRPr="00B63B3A" w14:paraId="619E03C9" w14:textId="77777777" w:rsidTr="00247D6D">
        <w:trPr>
          <w:jc w:val="center"/>
        </w:trPr>
        <w:tc>
          <w:tcPr>
            <w:tcW w:w="1134" w:type="dxa"/>
            <w:tcBorders>
              <w:tl2br w:val="nil"/>
              <w:tr2bl w:val="nil"/>
            </w:tcBorders>
            <w:vAlign w:val="center"/>
          </w:tcPr>
          <w:p w14:paraId="36252A57" w14:textId="4B074DFB" w:rsidR="005F07D1" w:rsidRPr="00B63B3A" w:rsidRDefault="00000000" w:rsidP="00247D6D">
            <w:pPr>
              <w:ind w:firstLineChars="0" w:firstLine="0"/>
              <w:jc w:val="center"/>
              <w:rPr>
                <w:rFonts w:ascii="仿宋" w:eastAsia="仿宋" w:hAnsi="仿宋"/>
                <w:sz w:val="21"/>
                <w:szCs w:val="21"/>
              </w:rPr>
            </w:pPr>
            <w:r w:rsidRPr="00B63B3A">
              <w:rPr>
                <w:rFonts w:ascii="仿宋" w:eastAsia="仿宋" w:hAnsi="仿宋"/>
                <w:sz w:val="21"/>
                <w:szCs w:val="21"/>
              </w:rPr>
              <w:t>Mean VIF</w:t>
            </w:r>
          </w:p>
        </w:tc>
        <w:tc>
          <w:tcPr>
            <w:tcW w:w="1134" w:type="dxa"/>
            <w:tcBorders>
              <w:tl2br w:val="nil"/>
              <w:tr2bl w:val="nil"/>
            </w:tcBorders>
            <w:vAlign w:val="center"/>
          </w:tcPr>
          <w:p w14:paraId="4AD623CC"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3.23</w:t>
            </w:r>
          </w:p>
        </w:tc>
        <w:tc>
          <w:tcPr>
            <w:tcW w:w="2044" w:type="dxa"/>
            <w:tcBorders>
              <w:tl2br w:val="nil"/>
              <w:tr2bl w:val="nil"/>
            </w:tcBorders>
            <w:vAlign w:val="center"/>
          </w:tcPr>
          <w:p w14:paraId="14281AEF" w14:textId="77777777" w:rsidR="005F07D1" w:rsidRPr="00B63B3A" w:rsidRDefault="00000000" w:rsidP="00247D6D">
            <w:pPr>
              <w:ind w:firstLine="420"/>
              <w:rPr>
                <w:rFonts w:ascii="仿宋" w:eastAsia="仿宋" w:hAnsi="仿宋"/>
                <w:sz w:val="21"/>
                <w:szCs w:val="21"/>
              </w:rPr>
            </w:pPr>
            <w:r w:rsidRPr="00B63B3A">
              <w:rPr>
                <w:rFonts w:ascii="仿宋" w:eastAsia="仿宋" w:hAnsi="仿宋" w:hint="eastAsia"/>
                <w:sz w:val="21"/>
                <w:szCs w:val="21"/>
              </w:rPr>
              <w:t>——</w:t>
            </w:r>
          </w:p>
        </w:tc>
      </w:tr>
    </w:tbl>
    <w:p w14:paraId="0604225F" w14:textId="013B1BE4" w:rsidR="005F07D1" w:rsidRDefault="00B63B3A" w:rsidP="006D2D35">
      <w:pPr>
        <w:pStyle w:val="3"/>
        <w:numPr>
          <w:ilvl w:val="0"/>
          <w:numId w:val="18"/>
        </w:numPr>
      </w:pPr>
      <w:r>
        <w:t>机制路径估计结果分析</w:t>
      </w:r>
    </w:p>
    <w:p w14:paraId="67A73CA6" w14:textId="77777777" w:rsidR="005F07D1" w:rsidRDefault="00000000" w:rsidP="0045411C">
      <w:r>
        <w:t>共线性检验</w:t>
      </w:r>
      <w:r>
        <w:t>Mean VIF</w:t>
      </w:r>
      <w:r>
        <w:t>值为</w:t>
      </w:r>
      <w:r>
        <w:rPr>
          <w:rFonts w:hint="eastAsia"/>
        </w:rPr>
        <w:t>3.23</w:t>
      </w:r>
      <w:r>
        <w:t>＜</w:t>
      </w:r>
      <w:r>
        <w:t>10</w:t>
      </w:r>
      <w:r>
        <w:t>，说明该模型不存在严重的多重共线性问题，本文借助</w:t>
      </w:r>
      <w:r>
        <w:t>stata16</w:t>
      </w:r>
      <w:r>
        <w:t>软件对三条机制路径进行分析，结果如表</w:t>
      </w:r>
      <w:r>
        <w:t xml:space="preserve"> </w:t>
      </w:r>
      <w:r>
        <w:t>所示。</w:t>
      </w:r>
    </w:p>
    <w:p w14:paraId="15CE979B" w14:textId="77777777" w:rsidR="005F07D1" w:rsidRDefault="00000000" w:rsidP="0045411C">
      <w:r>
        <w:t>第一，总路径分析。解释变量的估计系数为</w:t>
      </w:r>
      <w:r>
        <w:t>-0.5</w:t>
      </w:r>
      <w:r>
        <w:rPr>
          <w:rFonts w:hint="eastAsia"/>
        </w:rPr>
        <w:t>58</w:t>
      </w:r>
      <w:r>
        <w:t>，在</w:t>
      </w:r>
      <w:r>
        <w:t>1%</w:t>
      </w:r>
      <w:r>
        <w:t>的水平下显著，即绿色金融对能源</w:t>
      </w:r>
      <w:r>
        <w:rPr>
          <w:rFonts w:hint="eastAsia"/>
        </w:rPr>
        <w:t>消费</w:t>
      </w:r>
      <w:r>
        <w:t>结构的优化与转型具有促进作用。假说</w:t>
      </w:r>
      <w:r>
        <w:t>1</w:t>
      </w:r>
      <w:r>
        <w:t>得到验证。</w:t>
      </w:r>
    </w:p>
    <w:p w14:paraId="319ACCFB" w14:textId="77777777" w:rsidR="005F07D1" w:rsidRDefault="00000000" w:rsidP="0045411C">
      <w:r>
        <w:t>第二，间接路径分析。</w:t>
      </w:r>
      <w:r>
        <w:rPr>
          <w:rFonts w:hint="eastAsia"/>
        </w:rPr>
        <w:t>该机制路径解释变量的估计系数为</w:t>
      </w:r>
      <w:r>
        <w:rPr>
          <w:rFonts w:hint="eastAsia"/>
        </w:rPr>
        <w:t>5.422</w:t>
      </w:r>
      <w:r>
        <w:rPr>
          <w:rFonts w:hint="eastAsia"/>
        </w:rPr>
        <w:t>，在</w:t>
      </w:r>
      <w:r>
        <w:rPr>
          <w:rFonts w:hint="eastAsia"/>
        </w:rPr>
        <w:t>1%</w:t>
      </w:r>
      <w:r>
        <w:rPr>
          <w:rFonts w:hint="eastAsia"/>
        </w:rPr>
        <w:t>的水平下显著，表明绿色金融发展水平每提高</w:t>
      </w:r>
      <w:r>
        <w:rPr>
          <w:rFonts w:hint="eastAsia"/>
        </w:rPr>
        <w:t>1%</w:t>
      </w:r>
      <w:r>
        <w:rPr>
          <w:rFonts w:hint="eastAsia"/>
        </w:rPr>
        <w:t>，可以对技术创新产生</w:t>
      </w:r>
      <w:r>
        <w:rPr>
          <w:rFonts w:hint="eastAsia"/>
        </w:rPr>
        <w:t>5.422%</w:t>
      </w:r>
      <w:r>
        <w:rPr>
          <w:rFonts w:hint="eastAsia"/>
        </w:rPr>
        <w:t>的推动作用。由此可见，绿色金融的发展能够促进清洁能源和新能源领域的技术研发、革新与应用，从而进一步带动能源消费结构的优化与转型。</w:t>
      </w:r>
    </w:p>
    <w:p w14:paraId="68F6C191" w14:textId="40597A84" w:rsidR="005F07D1" w:rsidRDefault="00000000" w:rsidP="00C65393">
      <w:r>
        <w:t>第三，直接路径分析。将解释变量和中介变量加入模型后再次估计分析可得，解释变量的估计系数为</w:t>
      </w:r>
      <w:r>
        <w:t>-0.</w:t>
      </w:r>
      <w:r>
        <w:rPr>
          <w:rFonts w:hint="eastAsia"/>
        </w:rPr>
        <w:t>467</w:t>
      </w:r>
      <w:r>
        <w:t>，且在</w:t>
      </w:r>
      <w:r>
        <w:t>1%</w:t>
      </w:r>
      <w:r>
        <w:t>的水平下显著，说明绿色金融对能源</w:t>
      </w:r>
      <w:r>
        <w:rPr>
          <w:rFonts w:hint="eastAsia"/>
        </w:rPr>
        <w:t>消费</w:t>
      </w:r>
      <w:r>
        <w:t>结构优化与转型的促进作用仍然存在。</w:t>
      </w:r>
      <w:r>
        <w:rPr>
          <w:rFonts w:hint="eastAsia"/>
        </w:rPr>
        <w:t>同时，间接路径中的解释变量的估计系数符号与直接路径中中介变量的估计系数符号相反，二者相乘后与直接路径中解释变量估计系数符号相同，说明存在中介效应而不是遮掩效应。</w:t>
      </w:r>
    </w:p>
    <w:p w14:paraId="5D6CBAE1" w14:textId="748900A3" w:rsidR="005F07D1" w:rsidRPr="00B63B3A" w:rsidRDefault="00000000" w:rsidP="00B63B3A">
      <w:pPr>
        <w:ind w:firstLine="420"/>
        <w:jc w:val="center"/>
        <w:rPr>
          <w:rFonts w:ascii="仿宋" w:eastAsia="仿宋" w:hAnsi="仿宋"/>
          <w:sz w:val="21"/>
          <w:szCs w:val="21"/>
        </w:rPr>
      </w:pPr>
      <w:r w:rsidRPr="00B63B3A">
        <w:rPr>
          <w:rFonts w:ascii="仿宋" w:eastAsia="仿宋" w:hAnsi="仿宋" w:hint="eastAsia"/>
          <w:sz w:val="21"/>
          <w:szCs w:val="21"/>
        </w:rPr>
        <w:t>表</w:t>
      </w:r>
      <w:r w:rsidR="008707C5">
        <w:rPr>
          <w:rFonts w:ascii="仿宋" w:eastAsia="仿宋" w:hAnsi="仿宋"/>
          <w:sz w:val="21"/>
          <w:szCs w:val="21"/>
        </w:rPr>
        <w:t>4</w:t>
      </w:r>
      <w:r w:rsidRPr="00B63B3A">
        <w:rPr>
          <w:rFonts w:ascii="仿宋" w:eastAsia="仿宋" w:hAnsi="仿宋"/>
          <w:sz w:val="21"/>
          <w:szCs w:val="21"/>
        </w:rPr>
        <w:t xml:space="preserve"> </w:t>
      </w:r>
      <w:r w:rsidRPr="00B63B3A">
        <w:rPr>
          <w:rFonts w:ascii="仿宋" w:eastAsia="仿宋" w:hAnsi="仿宋" w:hint="eastAsia"/>
          <w:sz w:val="21"/>
          <w:szCs w:val="21"/>
        </w:rPr>
        <w:t xml:space="preserve">绿色金融对能源消费结构优化与转型的机制路径 </w:t>
      </w:r>
      <w:r w:rsidRPr="00B63B3A">
        <w:rPr>
          <w:rFonts w:ascii="仿宋" w:eastAsia="仿宋" w:hAnsi="仿宋"/>
          <w:sz w:val="21"/>
          <w:szCs w:val="21"/>
        </w:rPr>
        <w:t xml:space="preserve">OLS </w:t>
      </w:r>
      <w:r w:rsidRPr="00B63B3A">
        <w:rPr>
          <w:rFonts w:ascii="仿宋" w:eastAsia="仿宋" w:hAnsi="仿宋" w:hint="eastAsia"/>
          <w:sz w:val="21"/>
          <w:szCs w:val="21"/>
        </w:rPr>
        <w:t>回归结果</w:t>
      </w:r>
    </w:p>
    <w:tbl>
      <w:tblPr>
        <w:tblW w:w="8222" w:type="dxa"/>
        <w:jc w:val="center"/>
        <w:tblLayout w:type="fixed"/>
        <w:tblCellMar>
          <w:left w:w="0" w:type="dxa"/>
          <w:right w:w="0" w:type="dxa"/>
        </w:tblCellMar>
        <w:tblLook w:val="04A0" w:firstRow="1" w:lastRow="0" w:firstColumn="1" w:lastColumn="0" w:noHBand="0" w:noVBand="1"/>
      </w:tblPr>
      <w:tblGrid>
        <w:gridCol w:w="1702"/>
        <w:gridCol w:w="2126"/>
        <w:gridCol w:w="2172"/>
        <w:gridCol w:w="2222"/>
      </w:tblGrid>
      <w:tr w:rsidR="00C65393" w:rsidRPr="00B63B3A" w14:paraId="32FFE784" w14:textId="77777777" w:rsidTr="006D2D35">
        <w:trPr>
          <w:jc w:val="center"/>
        </w:trPr>
        <w:tc>
          <w:tcPr>
            <w:tcW w:w="1702" w:type="dxa"/>
            <w:vMerge w:val="restart"/>
            <w:tcBorders>
              <w:top w:val="single" w:sz="6" w:space="0" w:color="auto"/>
              <w:left w:val="nil"/>
              <w:right w:val="single" w:sz="4" w:space="0" w:color="auto"/>
            </w:tcBorders>
            <w:vAlign w:val="center"/>
          </w:tcPr>
          <w:p w14:paraId="2F4A3676" w14:textId="20ED94FC" w:rsidR="00C65393" w:rsidRPr="00B63B3A" w:rsidRDefault="00C65393" w:rsidP="008707C5">
            <w:pPr>
              <w:ind w:firstLine="420"/>
              <w:rPr>
                <w:rFonts w:ascii="仿宋" w:eastAsia="仿宋" w:hAnsi="仿宋"/>
                <w:sz w:val="21"/>
                <w:szCs w:val="21"/>
              </w:rPr>
            </w:pPr>
            <w:r w:rsidRPr="00B63B3A">
              <w:rPr>
                <w:rFonts w:ascii="仿宋" w:eastAsia="仿宋" w:hAnsi="仿宋" w:hint="eastAsia"/>
                <w:sz w:val="21"/>
                <w:szCs w:val="21"/>
              </w:rPr>
              <w:t>变量名</w:t>
            </w:r>
          </w:p>
        </w:tc>
        <w:tc>
          <w:tcPr>
            <w:tcW w:w="2126" w:type="dxa"/>
            <w:tcBorders>
              <w:top w:val="single" w:sz="6" w:space="0" w:color="auto"/>
              <w:left w:val="single" w:sz="4" w:space="0" w:color="auto"/>
              <w:bottom w:val="single" w:sz="4" w:space="0" w:color="auto"/>
              <w:right w:val="single" w:sz="4" w:space="0" w:color="auto"/>
            </w:tcBorders>
            <w:vAlign w:val="center"/>
          </w:tcPr>
          <w:p w14:paraId="4D1815D9" w14:textId="77777777" w:rsidR="00C65393" w:rsidRPr="00B63B3A" w:rsidRDefault="00C65393" w:rsidP="00C65393">
            <w:pPr>
              <w:ind w:firstLineChars="0" w:firstLine="0"/>
              <w:jc w:val="center"/>
              <w:rPr>
                <w:rFonts w:ascii="仿宋" w:eastAsia="仿宋" w:hAnsi="仿宋"/>
                <w:sz w:val="21"/>
                <w:szCs w:val="21"/>
              </w:rPr>
            </w:pPr>
            <w:r w:rsidRPr="00B63B3A">
              <w:rPr>
                <w:rFonts w:ascii="仿宋" w:eastAsia="仿宋" w:hAnsi="仿宋"/>
                <w:sz w:val="21"/>
                <w:szCs w:val="21"/>
              </w:rPr>
              <w:t>(1)</w:t>
            </w:r>
            <w:r w:rsidRPr="00B63B3A">
              <w:rPr>
                <w:rFonts w:ascii="仿宋" w:eastAsia="仿宋" w:hAnsi="仿宋" w:hint="eastAsia"/>
                <w:sz w:val="21"/>
                <w:szCs w:val="21"/>
              </w:rPr>
              <w:t>总路径</w:t>
            </w:r>
          </w:p>
        </w:tc>
        <w:tc>
          <w:tcPr>
            <w:tcW w:w="2172" w:type="dxa"/>
            <w:tcBorders>
              <w:top w:val="single" w:sz="6" w:space="0" w:color="auto"/>
              <w:left w:val="single" w:sz="4" w:space="0" w:color="auto"/>
              <w:bottom w:val="single" w:sz="4" w:space="0" w:color="auto"/>
              <w:right w:val="single" w:sz="4" w:space="0" w:color="auto"/>
            </w:tcBorders>
            <w:vAlign w:val="center"/>
          </w:tcPr>
          <w:p w14:paraId="300AFC86" w14:textId="77777777" w:rsidR="00C65393" w:rsidRPr="00B63B3A" w:rsidRDefault="00C65393" w:rsidP="00C65393">
            <w:pPr>
              <w:ind w:firstLineChars="0" w:firstLine="0"/>
              <w:jc w:val="center"/>
              <w:rPr>
                <w:rFonts w:ascii="仿宋" w:eastAsia="仿宋" w:hAnsi="仿宋"/>
                <w:sz w:val="21"/>
                <w:szCs w:val="21"/>
              </w:rPr>
            </w:pPr>
            <w:r w:rsidRPr="00B63B3A">
              <w:rPr>
                <w:rFonts w:ascii="仿宋" w:eastAsia="仿宋" w:hAnsi="仿宋"/>
                <w:sz w:val="21"/>
                <w:szCs w:val="21"/>
              </w:rPr>
              <w:t>(2)</w:t>
            </w:r>
            <w:r w:rsidRPr="00B63B3A">
              <w:rPr>
                <w:rFonts w:ascii="仿宋" w:eastAsia="仿宋" w:hAnsi="仿宋" w:hint="eastAsia"/>
                <w:sz w:val="21"/>
                <w:szCs w:val="21"/>
              </w:rPr>
              <w:t>间接路径</w:t>
            </w:r>
          </w:p>
        </w:tc>
        <w:tc>
          <w:tcPr>
            <w:tcW w:w="2222" w:type="dxa"/>
            <w:tcBorders>
              <w:top w:val="single" w:sz="6" w:space="0" w:color="auto"/>
              <w:left w:val="single" w:sz="4" w:space="0" w:color="auto"/>
              <w:bottom w:val="single" w:sz="4" w:space="0" w:color="auto"/>
              <w:right w:val="nil"/>
            </w:tcBorders>
            <w:vAlign w:val="center"/>
          </w:tcPr>
          <w:p w14:paraId="30868097" w14:textId="77777777" w:rsidR="00C65393" w:rsidRPr="00B63B3A" w:rsidRDefault="00C65393" w:rsidP="00C65393">
            <w:pPr>
              <w:ind w:firstLineChars="0" w:firstLine="0"/>
              <w:jc w:val="center"/>
              <w:rPr>
                <w:rFonts w:ascii="仿宋" w:eastAsia="仿宋" w:hAnsi="仿宋"/>
                <w:sz w:val="21"/>
                <w:szCs w:val="21"/>
              </w:rPr>
            </w:pPr>
            <w:r w:rsidRPr="00B63B3A">
              <w:rPr>
                <w:rFonts w:ascii="仿宋" w:eastAsia="仿宋" w:hAnsi="仿宋"/>
                <w:sz w:val="21"/>
                <w:szCs w:val="21"/>
              </w:rPr>
              <w:t>(3)</w:t>
            </w:r>
            <w:r w:rsidRPr="00B63B3A">
              <w:rPr>
                <w:rFonts w:ascii="仿宋" w:eastAsia="仿宋" w:hAnsi="仿宋" w:hint="eastAsia"/>
                <w:sz w:val="21"/>
                <w:szCs w:val="21"/>
              </w:rPr>
              <w:t>直接路径</w:t>
            </w:r>
          </w:p>
        </w:tc>
      </w:tr>
      <w:tr w:rsidR="00C65393" w:rsidRPr="00B63B3A" w14:paraId="40E90974" w14:textId="77777777" w:rsidTr="006D2D35">
        <w:trPr>
          <w:jc w:val="center"/>
        </w:trPr>
        <w:tc>
          <w:tcPr>
            <w:tcW w:w="1702" w:type="dxa"/>
            <w:vMerge/>
            <w:tcBorders>
              <w:left w:val="nil"/>
              <w:bottom w:val="single" w:sz="6" w:space="0" w:color="auto"/>
              <w:right w:val="single" w:sz="4" w:space="0" w:color="auto"/>
            </w:tcBorders>
            <w:vAlign w:val="center"/>
          </w:tcPr>
          <w:p w14:paraId="1E617172" w14:textId="7F0C9643" w:rsidR="00C65393" w:rsidRPr="00B63B3A" w:rsidRDefault="00C65393" w:rsidP="00C65393">
            <w:pPr>
              <w:ind w:firstLineChars="0" w:firstLine="0"/>
              <w:jc w:val="center"/>
              <w:rPr>
                <w:rFonts w:ascii="仿宋" w:eastAsia="仿宋" w:hAnsi="仿宋"/>
                <w:sz w:val="21"/>
                <w:szCs w:val="21"/>
              </w:rPr>
            </w:pPr>
          </w:p>
        </w:tc>
        <w:tc>
          <w:tcPr>
            <w:tcW w:w="2126" w:type="dxa"/>
            <w:tcBorders>
              <w:top w:val="single" w:sz="4" w:space="0" w:color="auto"/>
              <w:left w:val="single" w:sz="4" w:space="0" w:color="auto"/>
              <w:bottom w:val="single" w:sz="6" w:space="0" w:color="auto"/>
              <w:right w:val="single" w:sz="4" w:space="0" w:color="auto"/>
            </w:tcBorders>
            <w:vAlign w:val="center"/>
          </w:tcPr>
          <w:p w14:paraId="7D6DFD2A" w14:textId="4D500660" w:rsidR="00C65393" w:rsidRPr="00B63B3A" w:rsidRDefault="00C65393" w:rsidP="008707C5">
            <w:pPr>
              <w:ind w:firstLineChars="0" w:firstLine="0"/>
              <w:jc w:val="center"/>
              <w:rPr>
                <w:rFonts w:ascii="仿宋" w:eastAsia="仿宋" w:hAnsi="仿宋"/>
                <w:sz w:val="21"/>
                <w:szCs w:val="21"/>
              </w:rPr>
            </w:pPr>
            <w:r w:rsidRPr="00B63B3A">
              <w:rPr>
                <w:rFonts w:ascii="仿宋" w:eastAsia="仿宋" w:hAnsi="仿宋" w:hint="eastAsia"/>
                <w:sz w:val="21"/>
                <w:szCs w:val="21"/>
              </w:rPr>
              <w:t>能源消费结构（E</w:t>
            </w:r>
            <w:r w:rsidRPr="00B63B3A">
              <w:rPr>
                <w:rFonts w:ascii="仿宋" w:eastAsia="仿宋" w:hAnsi="仿宋"/>
                <w:sz w:val="21"/>
                <w:szCs w:val="21"/>
              </w:rPr>
              <w:t>S</w:t>
            </w:r>
            <w:r w:rsidRPr="00B63B3A">
              <w:rPr>
                <w:rFonts w:ascii="仿宋" w:eastAsia="仿宋" w:hAnsi="仿宋" w:hint="eastAsia"/>
                <w:sz w:val="21"/>
                <w:szCs w:val="21"/>
              </w:rPr>
              <w:t>）</w:t>
            </w:r>
          </w:p>
        </w:tc>
        <w:tc>
          <w:tcPr>
            <w:tcW w:w="2172" w:type="dxa"/>
            <w:tcBorders>
              <w:top w:val="single" w:sz="4" w:space="0" w:color="auto"/>
              <w:left w:val="single" w:sz="4" w:space="0" w:color="auto"/>
              <w:bottom w:val="single" w:sz="6" w:space="0" w:color="auto"/>
              <w:right w:val="single" w:sz="4" w:space="0" w:color="auto"/>
            </w:tcBorders>
            <w:vAlign w:val="center"/>
          </w:tcPr>
          <w:p w14:paraId="412ADBD2" w14:textId="6EA8ABD9" w:rsidR="00C65393" w:rsidRPr="00B63B3A" w:rsidRDefault="00C65393" w:rsidP="008707C5">
            <w:pPr>
              <w:ind w:firstLineChars="0" w:firstLine="0"/>
              <w:jc w:val="center"/>
              <w:rPr>
                <w:rFonts w:ascii="仿宋" w:eastAsia="仿宋" w:hAnsi="仿宋"/>
                <w:sz w:val="21"/>
                <w:szCs w:val="21"/>
              </w:rPr>
            </w:pPr>
            <w:r w:rsidRPr="00B63B3A">
              <w:rPr>
                <w:rFonts w:ascii="仿宋" w:eastAsia="仿宋" w:hAnsi="仿宋" w:hint="eastAsia"/>
                <w:sz w:val="21"/>
                <w:szCs w:val="21"/>
              </w:rPr>
              <w:t>技术创新（TP）</w:t>
            </w:r>
          </w:p>
        </w:tc>
        <w:tc>
          <w:tcPr>
            <w:tcW w:w="2222" w:type="dxa"/>
            <w:tcBorders>
              <w:top w:val="single" w:sz="4" w:space="0" w:color="auto"/>
              <w:left w:val="single" w:sz="4" w:space="0" w:color="auto"/>
              <w:bottom w:val="single" w:sz="6" w:space="0" w:color="auto"/>
              <w:right w:val="nil"/>
            </w:tcBorders>
            <w:vAlign w:val="center"/>
          </w:tcPr>
          <w:p w14:paraId="243FDC09" w14:textId="77777777" w:rsidR="00C65393" w:rsidRPr="00B63B3A" w:rsidRDefault="00C65393" w:rsidP="008707C5">
            <w:pPr>
              <w:ind w:firstLineChars="0" w:firstLine="0"/>
              <w:jc w:val="center"/>
              <w:rPr>
                <w:rFonts w:ascii="仿宋" w:eastAsia="仿宋" w:hAnsi="仿宋"/>
                <w:sz w:val="21"/>
                <w:szCs w:val="21"/>
              </w:rPr>
            </w:pPr>
            <w:r w:rsidRPr="00B63B3A">
              <w:rPr>
                <w:rFonts w:ascii="仿宋" w:eastAsia="仿宋" w:hAnsi="仿宋" w:hint="eastAsia"/>
                <w:sz w:val="21"/>
                <w:szCs w:val="21"/>
              </w:rPr>
              <w:t>能源消费结构（E</w:t>
            </w:r>
            <w:r w:rsidRPr="00B63B3A">
              <w:rPr>
                <w:rFonts w:ascii="仿宋" w:eastAsia="仿宋" w:hAnsi="仿宋"/>
                <w:sz w:val="21"/>
                <w:szCs w:val="21"/>
              </w:rPr>
              <w:t>S</w:t>
            </w:r>
            <w:r w:rsidRPr="00B63B3A">
              <w:rPr>
                <w:rFonts w:ascii="仿宋" w:eastAsia="仿宋" w:hAnsi="仿宋" w:hint="eastAsia"/>
                <w:sz w:val="21"/>
                <w:szCs w:val="21"/>
              </w:rPr>
              <w:t>）</w:t>
            </w:r>
          </w:p>
        </w:tc>
      </w:tr>
      <w:tr w:rsidR="005F07D1" w:rsidRPr="00B63B3A" w14:paraId="2D9CCA1E" w14:textId="77777777" w:rsidTr="006D2D35">
        <w:trPr>
          <w:jc w:val="center"/>
        </w:trPr>
        <w:tc>
          <w:tcPr>
            <w:tcW w:w="1702" w:type="dxa"/>
            <w:tcBorders>
              <w:top w:val="nil"/>
              <w:left w:val="nil"/>
              <w:bottom w:val="nil"/>
              <w:right w:val="single" w:sz="4" w:space="0" w:color="auto"/>
            </w:tcBorders>
            <w:vAlign w:val="center"/>
          </w:tcPr>
          <w:p w14:paraId="471C8C3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绿色金融指数（G</w:t>
            </w:r>
            <w:r w:rsidRPr="00B63B3A">
              <w:rPr>
                <w:rFonts w:ascii="仿宋" w:eastAsia="仿宋" w:hAnsi="仿宋"/>
                <w:sz w:val="21"/>
                <w:szCs w:val="21"/>
              </w:rPr>
              <w:t>F</w:t>
            </w:r>
            <w:r w:rsidRPr="00B63B3A">
              <w:rPr>
                <w:rFonts w:ascii="仿宋" w:eastAsia="仿宋" w:hAnsi="仿宋" w:hint="eastAsia"/>
                <w:sz w:val="21"/>
                <w:szCs w:val="21"/>
              </w:rPr>
              <w:t>）</w:t>
            </w:r>
          </w:p>
        </w:tc>
        <w:tc>
          <w:tcPr>
            <w:tcW w:w="2126" w:type="dxa"/>
            <w:tcBorders>
              <w:top w:val="nil"/>
              <w:left w:val="single" w:sz="4" w:space="0" w:color="auto"/>
              <w:bottom w:val="nil"/>
              <w:right w:val="single" w:sz="4" w:space="0" w:color="auto"/>
            </w:tcBorders>
            <w:vAlign w:val="center"/>
          </w:tcPr>
          <w:p w14:paraId="2D3C1B75"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558</w:t>
            </w:r>
            <w:r w:rsidRPr="00B63B3A">
              <w:rPr>
                <w:rFonts w:ascii="仿宋" w:eastAsia="仿宋" w:hAnsi="仿宋"/>
                <w:sz w:val="21"/>
                <w:szCs w:val="21"/>
              </w:rPr>
              <w:t>***</w:t>
            </w:r>
          </w:p>
        </w:tc>
        <w:tc>
          <w:tcPr>
            <w:tcW w:w="2172" w:type="dxa"/>
            <w:tcBorders>
              <w:top w:val="nil"/>
              <w:left w:val="single" w:sz="4" w:space="0" w:color="auto"/>
              <w:bottom w:val="nil"/>
              <w:right w:val="single" w:sz="4" w:space="0" w:color="auto"/>
            </w:tcBorders>
            <w:vAlign w:val="center"/>
          </w:tcPr>
          <w:p w14:paraId="75F62C8B"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5.422</w:t>
            </w:r>
            <w:r w:rsidRPr="00B63B3A">
              <w:rPr>
                <w:rFonts w:ascii="仿宋" w:eastAsia="仿宋" w:hAnsi="仿宋"/>
                <w:sz w:val="21"/>
                <w:szCs w:val="21"/>
              </w:rPr>
              <w:t>**</w:t>
            </w:r>
            <w:r w:rsidRPr="00B63B3A">
              <w:rPr>
                <w:rFonts w:ascii="仿宋" w:eastAsia="仿宋" w:hAnsi="仿宋" w:hint="eastAsia"/>
                <w:sz w:val="21"/>
                <w:szCs w:val="21"/>
              </w:rPr>
              <w:t>*</w:t>
            </w:r>
          </w:p>
        </w:tc>
        <w:tc>
          <w:tcPr>
            <w:tcW w:w="2222" w:type="dxa"/>
            <w:tcBorders>
              <w:top w:val="nil"/>
              <w:left w:val="single" w:sz="4" w:space="0" w:color="auto"/>
              <w:bottom w:val="nil"/>
              <w:right w:val="nil"/>
            </w:tcBorders>
            <w:vAlign w:val="center"/>
          </w:tcPr>
          <w:p w14:paraId="0017D6EC"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467</w:t>
            </w:r>
            <w:r w:rsidRPr="00B63B3A">
              <w:rPr>
                <w:rFonts w:ascii="仿宋" w:eastAsia="仿宋" w:hAnsi="仿宋"/>
                <w:sz w:val="21"/>
                <w:szCs w:val="21"/>
              </w:rPr>
              <w:t>**</w:t>
            </w:r>
            <w:r w:rsidRPr="00B63B3A">
              <w:rPr>
                <w:rFonts w:ascii="仿宋" w:eastAsia="仿宋" w:hAnsi="仿宋" w:hint="eastAsia"/>
                <w:sz w:val="21"/>
                <w:szCs w:val="21"/>
              </w:rPr>
              <w:t>*</w:t>
            </w:r>
          </w:p>
        </w:tc>
      </w:tr>
      <w:tr w:rsidR="005F07D1" w:rsidRPr="00B63B3A" w14:paraId="57C51B27" w14:textId="77777777" w:rsidTr="006D2D35">
        <w:trPr>
          <w:jc w:val="center"/>
        </w:trPr>
        <w:tc>
          <w:tcPr>
            <w:tcW w:w="1702" w:type="dxa"/>
            <w:tcBorders>
              <w:top w:val="nil"/>
              <w:left w:val="nil"/>
              <w:bottom w:val="nil"/>
              <w:right w:val="single" w:sz="4" w:space="0" w:color="auto"/>
            </w:tcBorders>
            <w:vAlign w:val="center"/>
          </w:tcPr>
          <w:p w14:paraId="7302A515"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4784095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(0.123)</w:t>
            </w:r>
          </w:p>
        </w:tc>
        <w:tc>
          <w:tcPr>
            <w:tcW w:w="2172" w:type="dxa"/>
            <w:tcBorders>
              <w:top w:val="nil"/>
              <w:left w:val="single" w:sz="4" w:space="0" w:color="auto"/>
              <w:bottom w:val="nil"/>
              <w:right w:val="single" w:sz="4" w:space="0" w:color="auto"/>
            </w:tcBorders>
            <w:vAlign w:val="center"/>
          </w:tcPr>
          <w:p w14:paraId="2F67526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1.584</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29D126AA"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(0.1</w:t>
            </w:r>
            <w:r w:rsidRPr="00B63B3A">
              <w:rPr>
                <w:rFonts w:ascii="仿宋" w:eastAsia="仿宋" w:hAnsi="仿宋" w:hint="eastAsia"/>
                <w:sz w:val="21"/>
                <w:szCs w:val="21"/>
              </w:rPr>
              <w:t>28</w:t>
            </w:r>
            <w:r w:rsidRPr="00B63B3A">
              <w:rPr>
                <w:rFonts w:ascii="仿宋" w:eastAsia="仿宋" w:hAnsi="仿宋"/>
                <w:sz w:val="21"/>
                <w:szCs w:val="21"/>
              </w:rPr>
              <w:t>)</w:t>
            </w:r>
          </w:p>
        </w:tc>
      </w:tr>
      <w:tr w:rsidR="005F07D1" w:rsidRPr="00B63B3A" w14:paraId="402BF1B2" w14:textId="77777777" w:rsidTr="006D2D35">
        <w:trPr>
          <w:jc w:val="center"/>
        </w:trPr>
        <w:tc>
          <w:tcPr>
            <w:tcW w:w="1702" w:type="dxa"/>
            <w:tcBorders>
              <w:top w:val="nil"/>
              <w:left w:val="nil"/>
              <w:bottom w:val="nil"/>
              <w:right w:val="single" w:sz="4" w:space="0" w:color="auto"/>
            </w:tcBorders>
            <w:vAlign w:val="center"/>
          </w:tcPr>
          <w:p w14:paraId="3FAF8760"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lastRenderedPageBreak/>
              <w:t>技术创新（TP）</w:t>
            </w:r>
          </w:p>
        </w:tc>
        <w:tc>
          <w:tcPr>
            <w:tcW w:w="2126" w:type="dxa"/>
            <w:tcBorders>
              <w:top w:val="nil"/>
              <w:left w:val="single" w:sz="4" w:space="0" w:color="auto"/>
              <w:bottom w:val="nil"/>
              <w:right w:val="single" w:sz="4" w:space="0" w:color="auto"/>
            </w:tcBorders>
            <w:vAlign w:val="center"/>
          </w:tcPr>
          <w:p w14:paraId="4BE95068" w14:textId="77777777" w:rsidR="005F07D1" w:rsidRPr="00B63B3A" w:rsidRDefault="005F07D1" w:rsidP="00C65393">
            <w:pPr>
              <w:ind w:firstLineChars="0" w:firstLine="0"/>
              <w:jc w:val="center"/>
              <w:rPr>
                <w:rFonts w:ascii="仿宋" w:eastAsia="仿宋" w:hAnsi="仿宋"/>
                <w:sz w:val="21"/>
                <w:szCs w:val="21"/>
              </w:rPr>
            </w:pPr>
          </w:p>
        </w:tc>
        <w:tc>
          <w:tcPr>
            <w:tcW w:w="2172" w:type="dxa"/>
            <w:tcBorders>
              <w:top w:val="nil"/>
              <w:left w:val="single" w:sz="4" w:space="0" w:color="auto"/>
              <w:bottom w:val="nil"/>
              <w:right w:val="single" w:sz="4" w:space="0" w:color="auto"/>
            </w:tcBorders>
            <w:vAlign w:val="center"/>
          </w:tcPr>
          <w:p w14:paraId="50BE7A26" w14:textId="77777777" w:rsidR="005F07D1" w:rsidRPr="00B63B3A" w:rsidRDefault="005F07D1" w:rsidP="00C65393">
            <w:pPr>
              <w:ind w:firstLineChars="0" w:firstLine="0"/>
              <w:jc w:val="center"/>
              <w:rPr>
                <w:rFonts w:ascii="仿宋" w:eastAsia="仿宋" w:hAnsi="仿宋"/>
                <w:sz w:val="21"/>
                <w:szCs w:val="21"/>
              </w:rPr>
            </w:pPr>
          </w:p>
        </w:tc>
        <w:tc>
          <w:tcPr>
            <w:tcW w:w="2222" w:type="dxa"/>
            <w:tcBorders>
              <w:top w:val="nil"/>
              <w:left w:val="single" w:sz="4" w:space="0" w:color="auto"/>
              <w:bottom w:val="nil"/>
              <w:right w:val="nil"/>
            </w:tcBorders>
            <w:vAlign w:val="center"/>
          </w:tcPr>
          <w:p w14:paraId="3660F1E0"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-0.017</w:t>
            </w:r>
            <w:r w:rsidRPr="00B63B3A">
              <w:rPr>
                <w:rFonts w:ascii="仿宋" w:eastAsia="仿宋" w:hAnsi="仿宋"/>
                <w:sz w:val="21"/>
                <w:szCs w:val="21"/>
              </w:rPr>
              <w:t>**</w:t>
            </w:r>
          </w:p>
        </w:tc>
      </w:tr>
      <w:tr w:rsidR="005F07D1" w:rsidRPr="00B63B3A" w14:paraId="7E8A1AC9" w14:textId="77777777" w:rsidTr="006D2D35">
        <w:trPr>
          <w:jc w:val="center"/>
        </w:trPr>
        <w:tc>
          <w:tcPr>
            <w:tcW w:w="1702" w:type="dxa"/>
            <w:tcBorders>
              <w:top w:val="nil"/>
              <w:left w:val="nil"/>
              <w:bottom w:val="nil"/>
              <w:right w:val="single" w:sz="4" w:space="0" w:color="auto"/>
            </w:tcBorders>
            <w:vAlign w:val="center"/>
          </w:tcPr>
          <w:p w14:paraId="70E412E7"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78B60E91" w14:textId="77777777" w:rsidR="005F07D1" w:rsidRPr="00B63B3A" w:rsidRDefault="005F07D1" w:rsidP="00C65393">
            <w:pPr>
              <w:ind w:firstLineChars="0" w:firstLine="0"/>
              <w:jc w:val="center"/>
              <w:rPr>
                <w:rFonts w:ascii="仿宋" w:eastAsia="仿宋" w:hAnsi="仿宋"/>
                <w:sz w:val="21"/>
                <w:szCs w:val="21"/>
              </w:rPr>
            </w:pPr>
          </w:p>
        </w:tc>
        <w:tc>
          <w:tcPr>
            <w:tcW w:w="2172" w:type="dxa"/>
            <w:tcBorders>
              <w:top w:val="nil"/>
              <w:left w:val="single" w:sz="4" w:space="0" w:color="auto"/>
              <w:bottom w:val="nil"/>
              <w:right w:val="single" w:sz="4" w:space="0" w:color="auto"/>
            </w:tcBorders>
            <w:vAlign w:val="center"/>
          </w:tcPr>
          <w:p w14:paraId="7B59CB2E" w14:textId="77777777" w:rsidR="005F07D1" w:rsidRPr="00B63B3A" w:rsidRDefault="005F07D1" w:rsidP="00C65393">
            <w:pPr>
              <w:ind w:firstLineChars="0" w:firstLine="0"/>
              <w:jc w:val="center"/>
              <w:rPr>
                <w:rFonts w:ascii="仿宋" w:eastAsia="仿宋" w:hAnsi="仿宋"/>
                <w:sz w:val="21"/>
                <w:szCs w:val="21"/>
              </w:rPr>
            </w:pPr>
          </w:p>
        </w:tc>
        <w:tc>
          <w:tcPr>
            <w:tcW w:w="2222" w:type="dxa"/>
            <w:tcBorders>
              <w:top w:val="nil"/>
              <w:left w:val="single" w:sz="4" w:space="0" w:color="auto"/>
              <w:bottom w:val="nil"/>
              <w:right w:val="nil"/>
            </w:tcBorders>
            <w:vAlign w:val="center"/>
          </w:tcPr>
          <w:p w14:paraId="3ED4A350"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(0.0</w:t>
            </w:r>
            <w:r w:rsidRPr="00B63B3A">
              <w:rPr>
                <w:rFonts w:ascii="仿宋" w:eastAsia="仿宋" w:hAnsi="仿宋" w:hint="eastAsia"/>
                <w:sz w:val="21"/>
                <w:szCs w:val="21"/>
              </w:rPr>
              <w:t>08</w:t>
            </w:r>
            <w:r w:rsidRPr="00B63B3A">
              <w:rPr>
                <w:rFonts w:ascii="仿宋" w:eastAsia="仿宋" w:hAnsi="仿宋"/>
                <w:sz w:val="21"/>
                <w:szCs w:val="21"/>
              </w:rPr>
              <w:t>)</w:t>
            </w:r>
          </w:p>
        </w:tc>
      </w:tr>
      <w:tr w:rsidR="005F07D1" w:rsidRPr="00B63B3A" w14:paraId="2AB00C2D" w14:textId="77777777" w:rsidTr="006D2D35">
        <w:trPr>
          <w:jc w:val="center"/>
        </w:trPr>
        <w:tc>
          <w:tcPr>
            <w:tcW w:w="1702" w:type="dxa"/>
            <w:tcBorders>
              <w:top w:val="nil"/>
              <w:left w:val="nil"/>
              <w:bottom w:val="nil"/>
              <w:right w:val="single" w:sz="4" w:space="0" w:color="auto"/>
            </w:tcBorders>
            <w:vAlign w:val="center"/>
          </w:tcPr>
          <w:p w14:paraId="13329259"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能源价格（</w:t>
            </w:r>
            <w:r w:rsidRPr="00B63B3A">
              <w:rPr>
                <w:rFonts w:ascii="仿宋" w:eastAsia="仿宋" w:hAnsi="仿宋"/>
                <w:sz w:val="21"/>
                <w:szCs w:val="21"/>
              </w:rPr>
              <w:t>ep</w:t>
            </w:r>
            <w:r w:rsidRPr="00B63B3A">
              <w:rPr>
                <w:rFonts w:ascii="仿宋" w:eastAsia="仿宋" w:hAnsi="仿宋" w:hint="eastAsia"/>
                <w:sz w:val="21"/>
                <w:szCs w:val="21"/>
              </w:rPr>
              <w:t>）</w:t>
            </w:r>
          </w:p>
        </w:tc>
        <w:tc>
          <w:tcPr>
            <w:tcW w:w="2126" w:type="dxa"/>
            <w:tcBorders>
              <w:top w:val="nil"/>
              <w:left w:val="single" w:sz="4" w:space="0" w:color="auto"/>
              <w:bottom w:val="nil"/>
              <w:right w:val="single" w:sz="4" w:space="0" w:color="auto"/>
            </w:tcBorders>
            <w:vAlign w:val="center"/>
          </w:tcPr>
          <w:p w14:paraId="16252797"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.331</w:t>
            </w:r>
          </w:p>
        </w:tc>
        <w:tc>
          <w:tcPr>
            <w:tcW w:w="2172" w:type="dxa"/>
            <w:tcBorders>
              <w:top w:val="nil"/>
              <w:left w:val="single" w:sz="4" w:space="0" w:color="auto"/>
              <w:bottom w:val="nil"/>
              <w:right w:val="single" w:sz="4" w:space="0" w:color="auto"/>
            </w:tcBorders>
            <w:vAlign w:val="center"/>
          </w:tcPr>
          <w:p w14:paraId="2A6C9BBB"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1.417</w:t>
            </w:r>
          </w:p>
        </w:tc>
        <w:tc>
          <w:tcPr>
            <w:tcW w:w="2222" w:type="dxa"/>
            <w:tcBorders>
              <w:top w:val="nil"/>
              <w:left w:val="single" w:sz="4" w:space="0" w:color="auto"/>
              <w:bottom w:val="nil"/>
              <w:right w:val="nil"/>
            </w:tcBorders>
            <w:vAlign w:val="center"/>
          </w:tcPr>
          <w:p w14:paraId="239F208A"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355</w:t>
            </w:r>
            <w:r w:rsidRPr="00B63B3A">
              <w:rPr>
                <w:rFonts w:ascii="仿宋" w:eastAsia="仿宋" w:hAnsi="仿宋"/>
                <w:sz w:val="21"/>
                <w:szCs w:val="21"/>
              </w:rPr>
              <w:t>*</w:t>
            </w:r>
          </w:p>
        </w:tc>
      </w:tr>
      <w:tr w:rsidR="005F07D1" w:rsidRPr="00B63B3A" w14:paraId="37D6DC3C" w14:textId="77777777" w:rsidTr="006D2D35">
        <w:trPr>
          <w:jc w:val="center"/>
        </w:trPr>
        <w:tc>
          <w:tcPr>
            <w:tcW w:w="1702" w:type="dxa"/>
            <w:tcBorders>
              <w:top w:val="nil"/>
              <w:left w:val="nil"/>
              <w:bottom w:val="nil"/>
              <w:right w:val="single" w:sz="4" w:space="0" w:color="auto"/>
            </w:tcBorders>
            <w:vAlign w:val="center"/>
          </w:tcPr>
          <w:p w14:paraId="3ECFDD1C"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47624EF1"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(0.21</w:t>
            </w:r>
            <w:r w:rsidRPr="00B63B3A">
              <w:rPr>
                <w:rFonts w:ascii="仿宋" w:eastAsia="仿宋" w:hAnsi="仿宋" w:hint="eastAsia"/>
                <w:sz w:val="21"/>
                <w:szCs w:val="21"/>
              </w:rPr>
              <w:t>8</w:t>
            </w:r>
            <w:r w:rsidRPr="00B63B3A">
              <w:rPr>
                <w:rFonts w:ascii="仿宋" w:eastAsia="仿宋" w:hAnsi="仿宋"/>
                <w:sz w:val="21"/>
                <w:szCs w:val="21"/>
              </w:rPr>
              <w:t>)</w:t>
            </w:r>
          </w:p>
        </w:tc>
        <w:tc>
          <w:tcPr>
            <w:tcW w:w="2172" w:type="dxa"/>
            <w:tcBorders>
              <w:top w:val="nil"/>
              <w:left w:val="single" w:sz="4" w:space="0" w:color="auto"/>
              <w:bottom w:val="nil"/>
              <w:right w:val="single" w:sz="4" w:space="0" w:color="auto"/>
            </w:tcBorders>
            <w:vAlign w:val="center"/>
          </w:tcPr>
          <w:p w14:paraId="217B503D"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2.797</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12C20217"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(0.2</w:t>
            </w:r>
            <w:r w:rsidRPr="00B63B3A">
              <w:rPr>
                <w:rFonts w:ascii="仿宋" w:eastAsia="仿宋" w:hAnsi="仿宋" w:hint="eastAsia"/>
                <w:sz w:val="21"/>
                <w:szCs w:val="21"/>
              </w:rPr>
              <w:t>14</w:t>
            </w:r>
            <w:r w:rsidRPr="00B63B3A">
              <w:rPr>
                <w:rFonts w:ascii="仿宋" w:eastAsia="仿宋" w:hAnsi="仿宋"/>
                <w:sz w:val="21"/>
                <w:szCs w:val="21"/>
              </w:rPr>
              <w:t>)</w:t>
            </w:r>
          </w:p>
        </w:tc>
      </w:tr>
      <w:tr w:rsidR="005F07D1" w:rsidRPr="00B63B3A" w14:paraId="00430DB1" w14:textId="77777777" w:rsidTr="006D2D35">
        <w:trPr>
          <w:jc w:val="center"/>
        </w:trPr>
        <w:tc>
          <w:tcPr>
            <w:tcW w:w="1702" w:type="dxa"/>
            <w:tcBorders>
              <w:top w:val="nil"/>
              <w:left w:val="nil"/>
              <w:bottom w:val="nil"/>
              <w:right w:val="single" w:sz="4" w:space="0" w:color="auto"/>
            </w:tcBorders>
            <w:vAlign w:val="center"/>
          </w:tcPr>
          <w:p w14:paraId="48CBC642"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经济规模（es）</w:t>
            </w:r>
          </w:p>
        </w:tc>
        <w:tc>
          <w:tcPr>
            <w:tcW w:w="2126" w:type="dxa"/>
            <w:tcBorders>
              <w:top w:val="nil"/>
              <w:left w:val="single" w:sz="4" w:space="0" w:color="auto"/>
              <w:bottom w:val="nil"/>
              <w:right w:val="single" w:sz="4" w:space="0" w:color="auto"/>
            </w:tcBorders>
            <w:vAlign w:val="center"/>
          </w:tcPr>
          <w:p w14:paraId="4C81B15C"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0.080</w:t>
            </w:r>
          </w:p>
        </w:tc>
        <w:tc>
          <w:tcPr>
            <w:tcW w:w="2172" w:type="dxa"/>
            <w:tcBorders>
              <w:top w:val="nil"/>
              <w:left w:val="single" w:sz="4" w:space="0" w:color="auto"/>
              <w:bottom w:val="nil"/>
              <w:right w:val="single" w:sz="4" w:space="0" w:color="auto"/>
            </w:tcBorders>
            <w:vAlign w:val="center"/>
          </w:tcPr>
          <w:p w14:paraId="267DF90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-1.430</w:t>
            </w:r>
          </w:p>
        </w:tc>
        <w:tc>
          <w:tcPr>
            <w:tcW w:w="2222" w:type="dxa"/>
            <w:tcBorders>
              <w:top w:val="nil"/>
              <w:left w:val="single" w:sz="4" w:space="0" w:color="auto"/>
              <w:bottom w:val="nil"/>
              <w:right w:val="nil"/>
            </w:tcBorders>
            <w:vAlign w:val="center"/>
          </w:tcPr>
          <w:p w14:paraId="49C75CE1"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0.056</w:t>
            </w:r>
          </w:p>
        </w:tc>
      </w:tr>
      <w:tr w:rsidR="005F07D1" w:rsidRPr="00B63B3A" w14:paraId="3EE302EA" w14:textId="77777777" w:rsidTr="006D2D35">
        <w:trPr>
          <w:jc w:val="center"/>
        </w:trPr>
        <w:tc>
          <w:tcPr>
            <w:tcW w:w="1702" w:type="dxa"/>
            <w:tcBorders>
              <w:top w:val="nil"/>
              <w:left w:val="nil"/>
              <w:bottom w:val="nil"/>
              <w:right w:val="single" w:sz="4" w:space="0" w:color="auto"/>
            </w:tcBorders>
            <w:vAlign w:val="center"/>
          </w:tcPr>
          <w:p w14:paraId="2770ECA2"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3232D892"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（0.094）</w:t>
            </w:r>
          </w:p>
        </w:tc>
        <w:tc>
          <w:tcPr>
            <w:tcW w:w="2172" w:type="dxa"/>
            <w:tcBorders>
              <w:top w:val="nil"/>
              <w:left w:val="single" w:sz="4" w:space="0" w:color="auto"/>
              <w:bottom w:val="nil"/>
              <w:right w:val="single" w:sz="4" w:space="0" w:color="auto"/>
            </w:tcBorders>
            <w:vAlign w:val="center"/>
          </w:tcPr>
          <w:p w14:paraId="63AB397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（1.202）</w:t>
            </w:r>
          </w:p>
        </w:tc>
        <w:tc>
          <w:tcPr>
            <w:tcW w:w="2222" w:type="dxa"/>
            <w:tcBorders>
              <w:top w:val="nil"/>
              <w:left w:val="single" w:sz="4" w:space="0" w:color="auto"/>
              <w:bottom w:val="nil"/>
              <w:right w:val="nil"/>
            </w:tcBorders>
            <w:vAlign w:val="center"/>
          </w:tcPr>
          <w:p w14:paraId="3AC8A80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（0.093）</w:t>
            </w:r>
          </w:p>
        </w:tc>
      </w:tr>
      <w:tr w:rsidR="005F07D1" w:rsidRPr="00B63B3A" w14:paraId="22923A2C" w14:textId="77777777" w:rsidTr="006D2D35">
        <w:trPr>
          <w:jc w:val="center"/>
        </w:trPr>
        <w:tc>
          <w:tcPr>
            <w:tcW w:w="1702" w:type="dxa"/>
            <w:tcBorders>
              <w:top w:val="nil"/>
              <w:left w:val="nil"/>
              <w:bottom w:val="nil"/>
              <w:right w:val="single" w:sz="4" w:space="0" w:color="auto"/>
            </w:tcBorders>
            <w:vAlign w:val="center"/>
          </w:tcPr>
          <w:p w14:paraId="25F393D7"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对外开放程度（</w:t>
            </w:r>
            <w:proofErr w:type="spellStart"/>
            <w:r w:rsidRPr="00B63B3A">
              <w:rPr>
                <w:rFonts w:ascii="仿宋" w:eastAsia="仿宋" w:hAnsi="仿宋" w:hint="eastAsia"/>
                <w:sz w:val="21"/>
                <w:szCs w:val="21"/>
              </w:rPr>
              <w:t>edp</w:t>
            </w:r>
            <w:proofErr w:type="spellEnd"/>
            <w:r w:rsidRPr="00B63B3A">
              <w:rPr>
                <w:rFonts w:ascii="仿宋" w:eastAsia="仿宋" w:hAnsi="仿宋" w:hint="eastAsia"/>
                <w:sz w:val="21"/>
                <w:szCs w:val="21"/>
              </w:rPr>
              <w:t>）</w:t>
            </w:r>
          </w:p>
        </w:tc>
        <w:tc>
          <w:tcPr>
            <w:tcW w:w="2126" w:type="dxa"/>
            <w:tcBorders>
              <w:top w:val="nil"/>
              <w:left w:val="single" w:sz="4" w:space="0" w:color="auto"/>
              <w:bottom w:val="nil"/>
              <w:right w:val="single" w:sz="4" w:space="0" w:color="auto"/>
            </w:tcBorders>
            <w:vAlign w:val="center"/>
          </w:tcPr>
          <w:p w14:paraId="0C7B67DD"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-0.060</w:t>
            </w:r>
          </w:p>
        </w:tc>
        <w:tc>
          <w:tcPr>
            <w:tcW w:w="2172" w:type="dxa"/>
            <w:tcBorders>
              <w:top w:val="nil"/>
              <w:left w:val="single" w:sz="4" w:space="0" w:color="auto"/>
              <w:bottom w:val="nil"/>
              <w:right w:val="single" w:sz="4" w:space="0" w:color="auto"/>
            </w:tcBorders>
            <w:vAlign w:val="center"/>
          </w:tcPr>
          <w:p w14:paraId="754C4B12"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1.104</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0AE8DDD0"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-0.042</w:t>
            </w:r>
          </w:p>
        </w:tc>
      </w:tr>
      <w:tr w:rsidR="005F07D1" w:rsidRPr="00B63B3A" w14:paraId="65899D9E" w14:textId="77777777" w:rsidTr="006D2D35">
        <w:trPr>
          <w:jc w:val="center"/>
        </w:trPr>
        <w:tc>
          <w:tcPr>
            <w:tcW w:w="1702" w:type="dxa"/>
            <w:tcBorders>
              <w:top w:val="nil"/>
              <w:left w:val="nil"/>
              <w:bottom w:val="nil"/>
              <w:right w:val="single" w:sz="4" w:space="0" w:color="auto"/>
            </w:tcBorders>
            <w:vAlign w:val="center"/>
          </w:tcPr>
          <w:p w14:paraId="5ECE7A02"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322B7844"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(0.049)</w:t>
            </w:r>
          </w:p>
        </w:tc>
        <w:tc>
          <w:tcPr>
            <w:tcW w:w="2172" w:type="dxa"/>
            <w:tcBorders>
              <w:top w:val="nil"/>
              <w:left w:val="single" w:sz="4" w:space="0" w:color="auto"/>
              <w:bottom w:val="nil"/>
              <w:right w:val="single" w:sz="4" w:space="0" w:color="auto"/>
            </w:tcBorders>
            <w:vAlign w:val="center"/>
          </w:tcPr>
          <w:p w14:paraId="48B1A4DD"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629</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620E9C2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(0.0</w:t>
            </w:r>
            <w:r w:rsidRPr="00B63B3A">
              <w:rPr>
                <w:rFonts w:ascii="仿宋" w:eastAsia="仿宋" w:hAnsi="仿宋" w:hint="eastAsia"/>
                <w:sz w:val="21"/>
                <w:szCs w:val="21"/>
              </w:rPr>
              <w:t>49</w:t>
            </w:r>
            <w:r w:rsidRPr="00B63B3A">
              <w:rPr>
                <w:rFonts w:ascii="仿宋" w:eastAsia="仿宋" w:hAnsi="仿宋"/>
                <w:sz w:val="21"/>
                <w:szCs w:val="21"/>
              </w:rPr>
              <w:t>)</w:t>
            </w:r>
          </w:p>
        </w:tc>
      </w:tr>
      <w:tr w:rsidR="005F07D1" w:rsidRPr="00B63B3A" w14:paraId="1D9E2C35" w14:textId="77777777" w:rsidTr="006D2D35">
        <w:trPr>
          <w:jc w:val="center"/>
        </w:trPr>
        <w:tc>
          <w:tcPr>
            <w:tcW w:w="1702" w:type="dxa"/>
            <w:tcBorders>
              <w:top w:val="nil"/>
              <w:left w:val="nil"/>
              <w:bottom w:val="nil"/>
              <w:right w:val="single" w:sz="4" w:space="0" w:color="auto"/>
            </w:tcBorders>
            <w:vAlign w:val="center"/>
          </w:tcPr>
          <w:p w14:paraId="6B70B699"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环境规制（</w:t>
            </w:r>
            <w:r w:rsidRPr="00B63B3A">
              <w:rPr>
                <w:rFonts w:ascii="仿宋" w:eastAsia="仿宋" w:hAnsi="仿宋"/>
                <w:sz w:val="21"/>
                <w:szCs w:val="21"/>
              </w:rPr>
              <w:t>e</w:t>
            </w:r>
            <w:r w:rsidRPr="00B63B3A">
              <w:rPr>
                <w:rFonts w:ascii="仿宋" w:eastAsia="仿宋" w:hAnsi="仿宋" w:hint="eastAsia"/>
                <w:sz w:val="21"/>
                <w:szCs w:val="21"/>
              </w:rPr>
              <w:t>r）</w:t>
            </w:r>
          </w:p>
        </w:tc>
        <w:tc>
          <w:tcPr>
            <w:tcW w:w="2126" w:type="dxa"/>
            <w:tcBorders>
              <w:top w:val="nil"/>
              <w:left w:val="single" w:sz="4" w:space="0" w:color="auto"/>
              <w:bottom w:val="nil"/>
              <w:right w:val="single" w:sz="4" w:space="0" w:color="auto"/>
            </w:tcBorders>
            <w:vAlign w:val="center"/>
          </w:tcPr>
          <w:p w14:paraId="5E1A039E"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1.506</w:t>
            </w:r>
          </w:p>
        </w:tc>
        <w:tc>
          <w:tcPr>
            <w:tcW w:w="2172" w:type="dxa"/>
            <w:tcBorders>
              <w:top w:val="nil"/>
              <w:left w:val="single" w:sz="4" w:space="0" w:color="auto"/>
              <w:bottom w:val="nil"/>
              <w:right w:val="single" w:sz="4" w:space="0" w:color="auto"/>
            </w:tcBorders>
            <w:vAlign w:val="center"/>
          </w:tcPr>
          <w:p w14:paraId="27099DF1"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-19.564</w:t>
            </w:r>
          </w:p>
        </w:tc>
        <w:tc>
          <w:tcPr>
            <w:tcW w:w="2222" w:type="dxa"/>
            <w:tcBorders>
              <w:top w:val="nil"/>
              <w:left w:val="single" w:sz="4" w:space="0" w:color="auto"/>
              <w:bottom w:val="nil"/>
              <w:right w:val="nil"/>
            </w:tcBorders>
            <w:vAlign w:val="center"/>
          </w:tcPr>
          <w:p w14:paraId="36FCDC5A"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1.836</w:t>
            </w:r>
          </w:p>
        </w:tc>
      </w:tr>
      <w:tr w:rsidR="005F07D1" w:rsidRPr="00B63B3A" w14:paraId="3CD047CB" w14:textId="77777777" w:rsidTr="006D2D35">
        <w:trPr>
          <w:jc w:val="center"/>
        </w:trPr>
        <w:tc>
          <w:tcPr>
            <w:tcW w:w="1702" w:type="dxa"/>
            <w:tcBorders>
              <w:top w:val="nil"/>
              <w:left w:val="nil"/>
              <w:bottom w:val="nil"/>
              <w:right w:val="single" w:sz="4" w:space="0" w:color="auto"/>
            </w:tcBorders>
            <w:vAlign w:val="center"/>
          </w:tcPr>
          <w:p w14:paraId="5812B9FB"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6175AC05"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3.165</w:t>
            </w:r>
            <w:r w:rsidRPr="00B63B3A">
              <w:rPr>
                <w:rFonts w:ascii="仿宋" w:eastAsia="仿宋" w:hAnsi="仿宋"/>
                <w:sz w:val="21"/>
                <w:szCs w:val="21"/>
              </w:rPr>
              <w:t>)</w:t>
            </w:r>
          </w:p>
        </w:tc>
        <w:tc>
          <w:tcPr>
            <w:tcW w:w="2172" w:type="dxa"/>
            <w:tcBorders>
              <w:top w:val="nil"/>
              <w:left w:val="single" w:sz="4" w:space="0" w:color="auto"/>
              <w:bottom w:val="nil"/>
              <w:right w:val="single" w:sz="4" w:space="0" w:color="auto"/>
            </w:tcBorders>
            <w:vAlign w:val="center"/>
          </w:tcPr>
          <w:p w14:paraId="7A5533D9"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40.624</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31B30B96"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3.110</w:t>
            </w:r>
            <w:r w:rsidRPr="00B63B3A">
              <w:rPr>
                <w:rFonts w:ascii="仿宋" w:eastAsia="仿宋" w:hAnsi="仿宋"/>
                <w:sz w:val="21"/>
                <w:szCs w:val="21"/>
              </w:rPr>
              <w:t>)</w:t>
            </w:r>
          </w:p>
        </w:tc>
      </w:tr>
      <w:tr w:rsidR="005F07D1" w:rsidRPr="00B63B3A" w14:paraId="52AD472E" w14:textId="77777777" w:rsidTr="006D2D35">
        <w:trPr>
          <w:jc w:val="center"/>
        </w:trPr>
        <w:tc>
          <w:tcPr>
            <w:tcW w:w="1702" w:type="dxa"/>
            <w:tcBorders>
              <w:top w:val="nil"/>
              <w:left w:val="nil"/>
              <w:bottom w:val="nil"/>
              <w:right w:val="single" w:sz="4" w:space="0" w:color="auto"/>
            </w:tcBorders>
            <w:vAlign w:val="center"/>
          </w:tcPr>
          <w:p w14:paraId="1D5F097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地区固定</w:t>
            </w:r>
          </w:p>
        </w:tc>
        <w:tc>
          <w:tcPr>
            <w:tcW w:w="2126" w:type="dxa"/>
            <w:tcBorders>
              <w:top w:val="nil"/>
              <w:left w:val="single" w:sz="4" w:space="0" w:color="auto"/>
              <w:bottom w:val="nil"/>
              <w:right w:val="single" w:sz="4" w:space="0" w:color="auto"/>
            </w:tcBorders>
            <w:vAlign w:val="center"/>
          </w:tcPr>
          <w:p w14:paraId="61FB0873"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c>
          <w:tcPr>
            <w:tcW w:w="2172" w:type="dxa"/>
            <w:tcBorders>
              <w:top w:val="nil"/>
              <w:left w:val="single" w:sz="4" w:space="0" w:color="auto"/>
              <w:bottom w:val="nil"/>
              <w:right w:val="single" w:sz="4" w:space="0" w:color="auto"/>
            </w:tcBorders>
            <w:vAlign w:val="center"/>
          </w:tcPr>
          <w:p w14:paraId="7680050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c>
          <w:tcPr>
            <w:tcW w:w="2222" w:type="dxa"/>
            <w:tcBorders>
              <w:top w:val="nil"/>
              <w:left w:val="single" w:sz="4" w:space="0" w:color="auto"/>
              <w:bottom w:val="nil"/>
              <w:right w:val="nil"/>
            </w:tcBorders>
            <w:vAlign w:val="center"/>
          </w:tcPr>
          <w:p w14:paraId="284DFB45"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r>
      <w:tr w:rsidR="005F07D1" w:rsidRPr="00B63B3A" w14:paraId="7E29DFA8" w14:textId="77777777" w:rsidTr="006D2D35">
        <w:trPr>
          <w:jc w:val="center"/>
        </w:trPr>
        <w:tc>
          <w:tcPr>
            <w:tcW w:w="1702" w:type="dxa"/>
            <w:tcBorders>
              <w:top w:val="nil"/>
              <w:left w:val="nil"/>
              <w:bottom w:val="nil"/>
              <w:right w:val="single" w:sz="4" w:space="0" w:color="auto"/>
            </w:tcBorders>
            <w:vAlign w:val="center"/>
          </w:tcPr>
          <w:p w14:paraId="5C9083A1"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时间固定</w:t>
            </w:r>
          </w:p>
        </w:tc>
        <w:tc>
          <w:tcPr>
            <w:tcW w:w="2126" w:type="dxa"/>
            <w:tcBorders>
              <w:top w:val="nil"/>
              <w:left w:val="single" w:sz="4" w:space="0" w:color="auto"/>
              <w:bottom w:val="nil"/>
              <w:right w:val="single" w:sz="4" w:space="0" w:color="auto"/>
            </w:tcBorders>
            <w:vAlign w:val="center"/>
          </w:tcPr>
          <w:p w14:paraId="2F16A21D"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c>
          <w:tcPr>
            <w:tcW w:w="2172" w:type="dxa"/>
            <w:tcBorders>
              <w:top w:val="nil"/>
              <w:left w:val="single" w:sz="4" w:space="0" w:color="auto"/>
              <w:bottom w:val="nil"/>
              <w:right w:val="single" w:sz="4" w:space="0" w:color="auto"/>
            </w:tcBorders>
            <w:vAlign w:val="center"/>
          </w:tcPr>
          <w:p w14:paraId="1255F839"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c>
          <w:tcPr>
            <w:tcW w:w="2222" w:type="dxa"/>
            <w:tcBorders>
              <w:top w:val="nil"/>
              <w:left w:val="single" w:sz="4" w:space="0" w:color="auto"/>
              <w:bottom w:val="nil"/>
              <w:right w:val="nil"/>
            </w:tcBorders>
            <w:vAlign w:val="center"/>
          </w:tcPr>
          <w:p w14:paraId="07205357"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是</w:t>
            </w:r>
          </w:p>
        </w:tc>
      </w:tr>
      <w:tr w:rsidR="005F07D1" w:rsidRPr="00B63B3A" w14:paraId="1CAA2CEA" w14:textId="77777777" w:rsidTr="006D2D35">
        <w:trPr>
          <w:jc w:val="center"/>
        </w:trPr>
        <w:tc>
          <w:tcPr>
            <w:tcW w:w="1702" w:type="dxa"/>
            <w:tcBorders>
              <w:top w:val="nil"/>
              <w:left w:val="nil"/>
              <w:bottom w:val="nil"/>
              <w:right w:val="single" w:sz="4" w:space="0" w:color="auto"/>
            </w:tcBorders>
            <w:vAlign w:val="center"/>
          </w:tcPr>
          <w:p w14:paraId="277632EF"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常数项</w:t>
            </w:r>
          </w:p>
        </w:tc>
        <w:tc>
          <w:tcPr>
            <w:tcW w:w="2126" w:type="dxa"/>
            <w:tcBorders>
              <w:top w:val="nil"/>
              <w:left w:val="single" w:sz="4" w:space="0" w:color="auto"/>
              <w:bottom w:val="nil"/>
              <w:right w:val="single" w:sz="4" w:space="0" w:color="auto"/>
            </w:tcBorders>
            <w:vAlign w:val="center"/>
          </w:tcPr>
          <w:p w14:paraId="7C8CBAE2"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1.219</w:t>
            </w:r>
          </w:p>
        </w:tc>
        <w:tc>
          <w:tcPr>
            <w:tcW w:w="2172" w:type="dxa"/>
            <w:tcBorders>
              <w:top w:val="nil"/>
              <w:left w:val="single" w:sz="4" w:space="0" w:color="auto"/>
              <w:bottom w:val="nil"/>
              <w:right w:val="single" w:sz="4" w:space="0" w:color="auto"/>
            </w:tcBorders>
            <w:vAlign w:val="center"/>
          </w:tcPr>
          <w:p w14:paraId="3DEA7BEB"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29.679</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67A0BE1C"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1.719</w:t>
            </w:r>
          </w:p>
        </w:tc>
      </w:tr>
      <w:tr w:rsidR="005F07D1" w:rsidRPr="00B63B3A" w14:paraId="547AA931" w14:textId="77777777" w:rsidTr="006D2D35">
        <w:trPr>
          <w:jc w:val="center"/>
        </w:trPr>
        <w:tc>
          <w:tcPr>
            <w:tcW w:w="1702" w:type="dxa"/>
            <w:tcBorders>
              <w:top w:val="nil"/>
              <w:left w:val="nil"/>
              <w:bottom w:val="nil"/>
              <w:right w:val="single" w:sz="4" w:space="0" w:color="auto"/>
            </w:tcBorders>
            <w:vAlign w:val="center"/>
          </w:tcPr>
          <w:p w14:paraId="4789C055" w14:textId="77777777" w:rsidR="005F07D1" w:rsidRPr="00B63B3A" w:rsidRDefault="005F07D1" w:rsidP="00C65393">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0AA466FB"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(1</w:t>
            </w:r>
            <w:r w:rsidRPr="00B63B3A">
              <w:rPr>
                <w:rFonts w:ascii="仿宋" w:eastAsia="仿宋" w:hAnsi="仿宋" w:hint="eastAsia"/>
                <w:sz w:val="21"/>
                <w:szCs w:val="21"/>
              </w:rPr>
              <w:t>.295</w:t>
            </w:r>
            <w:r w:rsidRPr="00B63B3A">
              <w:rPr>
                <w:rFonts w:ascii="仿宋" w:eastAsia="仿宋" w:hAnsi="仿宋"/>
                <w:sz w:val="21"/>
                <w:szCs w:val="21"/>
              </w:rPr>
              <w:t>)</w:t>
            </w:r>
          </w:p>
        </w:tc>
        <w:tc>
          <w:tcPr>
            <w:tcW w:w="2172" w:type="dxa"/>
            <w:tcBorders>
              <w:top w:val="nil"/>
              <w:left w:val="single" w:sz="4" w:space="0" w:color="auto"/>
              <w:bottom w:val="nil"/>
              <w:right w:val="single" w:sz="4" w:space="0" w:color="auto"/>
            </w:tcBorders>
            <w:vAlign w:val="center"/>
          </w:tcPr>
          <w:p w14:paraId="600F6673"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16.625</w:t>
            </w:r>
            <w:r w:rsidRPr="00B63B3A">
              <w:rPr>
                <w:rFonts w:ascii="仿宋" w:eastAsia="仿宋" w:hAnsi="仿宋"/>
                <w:sz w:val="21"/>
                <w:szCs w:val="21"/>
              </w:rPr>
              <w:t>)</w:t>
            </w:r>
          </w:p>
        </w:tc>
        <w:tc>
          <w:tcPr>
            <w:tcW w:w="2222" w:type="dxa"/>
            <w:tcBorders>
              <w:top w:val="nil"/>
              <w:left w:val="single" w:sz="4" w:space="0" w:color="auto"/>
              <w:bottom w:val="nil"/>
              <w:right w:val="nil"/>
            </w:tcBorders>
            <w:vAlign w:val="center"/>
          </w:tcPr>
          <w:p w14:paraId="49DA3D9E"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w:t>
            </w:r>
            <w:r w:rsidRPr="00B63B3A">
              <w:rPr>
                <w:rFonts w:ascii="仿宋" w:eastAsia="仿宋" w:hAnsi="仿宋" w:hint="eastAsia"/>
                <w:sz w:val="21"/>
                <w:szCs w:val="21"/>
              </w:rPr>
              <w:t>1.292</w:t>
            </w:r>
            <w:r w:rsidRPr="00B63B3A">
              <w:rPr>
                <w:rFonts w:ascii="仿宋" w:eastAsia="仿宋" w:hAnsi="仿宋"/>
                <w:sz w:val="21"/>
                <w:szCs w:val="21"/>
              </w:rPr>
              <w:t>)</w:t>
            </w:r>
          </w:p>
        </w:tc>
      </w:tr>
      <w:tr w:rsidR="005F07D1" w:rsidRPr="00B63B3A" w14:paraId="5F02045B" w14:textId="77777777" w:rsidTr="006D2D35">
        <w:trPr>
          <w:jc w:val="center"/>
        </w:trPr>
        <w:tc>
          <w:tcPr>
            <w:tcW w:w="1702" w:type="dxa"/>
            <w:tcBorders>
              <w:top w:val="nil"/>
              <w:left w:val="nil"/>
              <w:bottom w:val="nil"/>
              <w:right w:val="single" w:sz="4" w:space="0" w:color="auto"/>
            </w:tcBorders>
            <w:vAlign w:val="center"/>
          </w:tcPr>
          <w:p w14:paraId="00B9B1FE"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 xml:space="preserve">决定系数 </w:t>
            </w:r>
            <m:oMath>
              <m:sSup>
                <m:sSupPr>
                  <m:ctrlPr>
                    <w:rPr>
                      <w:rFonts w:ascii="Cambria Math" w:eastAsia="仿宋" w:hAnsi="Cambria Math"/>
                      <w:sz w:val="21"/>
                      <w:szCs w:val="21"/>
                    </w:rPr>
                  </m:ctrlPr>
                </m:sSupPr>
                <m:e>
                  <m:r>
                    <w:rPr>
                      <w:rFonts w:ascii="Cambria Math" w:eastAsia="仿宋" w:hAnsi="Cambria Math"/>
                      <w:sz w:val="21"/>
                      <w:szCs w:val="21"/>
                    </w:rPr>
                    <m:t>R</m:t>
                  </m:r>
                </m:e>
                <m:sup>
                  <m:r>
                    <m:rPr>
                      <m:sty m:val="p"/>
                    </m:rPr>
                    <w:rPr>
                      <w:rFonts w:ascii="Cambria Math" w:eastAsia="仿宋" w:hAnsi="Cambria Math"/>
                      <w:sz w:val="21"/>
                      <w:szCs w:val="21"/>
                    </w:rPr>
                    <m:t>2</m:t>
                  </m:r>
                </m:sup>
              </m:sSup>
            </m:oMath>
          </w:p>
        </w:tc>
        <w:tc>
          <w:tcPr>
            <w:tcW w:w="2126" w:type="dxa"/>
            <w:tcBorders>
              <w:top w:val="nil"/>
              <w:left w:val="single" w:sz="4" w:space="0" w:color="auto"/>
              <w:bottom w:val="nil"/>
              <w:right w:val="single" w:sz="4" w:space="0" w:color="auto"/>
            </w:tcBorders>
            <w:vAlign w:val="center"/>
          </w:tcPr>
          <w:p w14:paraId="6EEE140B"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8018</w:t>
            </w:r>
          </w:p>
        </w:tc>
        <w:tc>
          <w:tcPr>
            <w:tcW w:w="2172" w:type="dxa"/>
            <w:tcBorders>
              <w:top w:val="nil"/>
              <w:left w:val="single" w:sz="4" w:space="0" w:color="auto"/>
              <w:bottom w:val="nil"/>
              <w:right w:val="single" w:sz="4" w:space="0" w:color="auto"/>
            </w:tcBorders>
            <w:vAlign w:val="center"/>
          </w:tcPr>
          <w:p w14:paraId="3E83E1BC"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7057</w:t>
            </w:r>
          </w:p>
        </w:tc>
        <w:tc>
          <w:tcPr>
            <w:tcW w:w="2222" w:type="dxa"/>
            <w:tcBorders>
              <w:top w:val="nil"/>
              <w:left w:val="single" w:sz="4" w:space="0" w:color="auto"/>
              <w:bottom w:val="nil"/>
              <w:right w:val="nil"/>
            </w:tcBorders>
            <w:vAlign w:val="center"/>
          </w:tcPr>
          <w:p w14:paraId="6477B25A"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0.</w:t>
            </w:r>
            <w:r w:rsidRPr="00B63B3A">
              <w:rPr>
                <w:rFonts w:ascii="仿宋" w:eastAsia="仿宋" w:hAnsi="仿宋" w:hint="eastAsia"/>
                <w:sz w:val="21"/>
                <w:szCs w:val="21"/>
              </w:rPr>
              <w:t>8110</w:t>
            </w:r>
          </w:p>
        </w:tc>
      </w:tr>
      <w:tr w:rsidR="005F07D1" w:rsidRPr="00B63B3A" w14:paraId="5D1B43EF" w14:textId="77777777" w:rsidTr="006D2D35">
        <w:trPr>
          <w:jc w:val="center"/>
        </w:trPr>
        <w:tc>
          <w:tcPr>
            <w:tcW w:w="1702" w:type="dxa"/>
            <w:tcBorders>
              <w:top w:val="nil"/>
              <w:left w:val="nil"/>
              <w:bottom w:val="single" w:sz="4" w:space="0" w:color="auto"/>
              <w:right w:val="single" w:sz="4" w:space="0" w:color="auto"/>
            </w:tcBorders>
            <w:vAlign w:val="center"/>
          </w:tcPr>
          <w:p w14:paraId="6B6DF2D8"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hint="eastAsia"/>
                <w:sz w:val="21"/>
                <w:szCs w:val="21"/>
              </w:rPr>
              <w:t>观测值</w:t>
            </w:r>
          </w:p>
        </w:tc>
        <w:tc>
          <w:tcPr>
            <w:tcW w:w="2126" w:type="dxa"/>
            <w:tcBorders>
              <w:top w:val="nil"/>
              <w:left w:val="single" w:sz="4" w:space="0" w:color="auto"/>
              <w:bottom w:val="single" w:sz="4" w:space="0" w:color="auto"/>
              <w:right w:val="single" w:sz="4" w:space="0" w:color="auto"/>
            </w:tcBorders>
            <w:vAlign w:val="center"/>
          </w:tcPr>
          <w:p w14:paraId="740A35DC"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121</w:t>
            </w:r>
          </w:p>
        </w:tc>
        <w:tc>
          <w:tcPr>
            <w:tcW w:w="2172" w:type="dxa"/>
            <w:tcBorders>
              <w:top w:val="nil"/>
              <w:left w:val="single" w:sz="4" w:space="0" w:color="auto"/>
              <w:bottom w:val="single" w:sz="4" w:space="0" w:color="auto"/>
              <w:right w:val="single" w:sz="4" w:space="0" w:color="auto"/>
            </w:tcBorders>
            <w:vAlign w:val="center"/>
          </w:tcPr>
          <w:p w14:paraId="46C1409E"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121</w:t>
            </w:r>
          </w:p>
        </w:tc>
        <w:tc>
          <w:tcPr>
            <w:tcW w:w="2222" w:type="dxa"/>
            <w:tcBorders>
              <w:top w:val="nil"/>
              <w:left w:val="single" w:sz="4" w:space="0" w:color="auto"/>
              <w:bottom w:val="single" w:sz="4" w:space="0" w:color="auto"/>
              <w:right w:val="nil"/>
            </w:tcBorders>
            <w:vAlign w:val="center"/>
          </w:tcPr>
          <w:p w14:paraId="7ED8C570" w14:textId="77777777" w:rsidR="005F07D1" w:rsidRPr="00B63B3A" w:rsidRDefault="00000000" w:rsidP="00C65393">
            <w:pPr>
              <w:ind w:firstLineChars="0" w:firstLine="0"/>
              <w:jc w:val="center"/>
              <w:rPr>
                <w:rFonts w:ascii="仿宋" w:eastAsia="仿宋" w:hAnsi="仿宋"/>
                <w:sz w:val="21"/>
                <w:szCs w:val="21"/>
              </w:rPr>
            </w:pPr>
            <w:r w:rsidRPr="00B63B3A">
              <w:rPr>
                <w:rFonts w:ascii="仿宋" w:eastAsia="仿宋" w:hAnsi="仿宋"/>
                <w:sz w:val="21"/>
                <w:szCs w:val="21"/>
              </w:rPr>
              <w:t>121</w:t>
            </w:r>
          </w:p>
        </w:tc>
      </w:tr>
    </w:tbl>
    <w:p w14:paraId="703602AA" w14:textId="0A2A98F9" w:rsidR="005F07D1" w:rsidRPr="00C65393" w:rsidRDefault="00000000" w:rsidP="00C65393">
      <w:pPr>
        <w:ind w:firstLineChars="0" w:firstLine="0"/>
        <w:rPr>
          <w:rFonts w:ascii="宋体" w:hAnsi="宋体"/>
          <w:sz w:val="18"/>
          <w:szCs w:val="18"/>
        </w:rPr>
      </w:pPr>
      <w:r w:rsidRPr="00C65393">
        <w:rPr>
          <w:rFonts w:ascii="宋体" w:hAnsi="宋体"/>
          <w:sz w:val="18"/>
          <w:szCs w:val="18"/>
        </w:rPr>
        <w:t>注:括号内为标准误，*、</w:t>
      </w:r>
      <w:r w:rsidRPr="00C65393">
        <w:rPr>
          <w:rFonts w:ascii="宋体" w:hAnsi="宋体" w:hint="eastAsia"/>
          <w:sz w:val="18"/>
          <w:szCs w:val="18"/>
        </w:rPr>
        <w:t>**</w:t>
      </w:r>
      <w:r w:rsidRPr="00C65393">
        <w:rPr>
          <w:rFonts w:ascii="宋体" w:hAnsi="宋体"/>
          <w:sz w:val="18"/>
          <w:szCs w:val="18"/>
        </w:rPr>
        <w:t>、</w:t>
      </w:r>
      <w:r w:rsidRPr="00C65393">
        <w:rPr>
          <w:rFonts w:ascii="宋体" w:hAnsi="宋体" w:hint="eastAsia"/>
          <w:sz w:val="18"/>
          <w:szCs w:val="18"/>
        </w:rPr>
        <w:t>***</w:t>
      </w:r>
      <w:r w:rsidRPr="00C65393">
        <w:rPr>
          <w:rFonts w:ascii="宋体" w:hAnsi="宋体"/>
          <w:sz w:val="18"/>
          <w:szCs w:val="18"/>
        </w:rPr>
        <w:t>分别表示</w:t>
      </w:r>
      <w:r w:rsidRPr="00C65393">
        <w:rPr>
          <w:rFonts w:ascii="宋体" w:hAnsi="宋体" w:hint="eastAsia"/>
          <w:sz w:val="18"/>
          <w:szCs w:val="18"/>
        </w:rPr>
        <w:t>10</w:t>
      </w:r>
      <w:r w:rsidRPr="00C65393">
        <w:rPr>
          <w:rFonts w:ascii="宋体" w:hAnsi="宋体"/>
          <w:sz w:val="18"/>
          <w:szCs w:val="18"/>
        </w:rPr>
        <w:t>%、</w:t>
      </w:r>
      <w:r w:rsidRPr="00C65393">
        <w:rPr>
          <w:rFonts w:ascii="宋体" w:hAnsi="宋体" w:hint="eastAsia"/>
          <w:sz w:val="18"/>
          <w:szCs w:val="18"/>
        </w:rPr>
        <w:t>5</w:t>
      </w:r>
      <w:r w:rsidRPr="00C65393">
        <w:rPr>
          <w:rFonts w:ascii="宋体" w:hAnsi="宋体"/>
          <w:sz w:val="18"/>
          <w:szCs w:val="18"/>
        </w:rPr>
        <w:t>%、1%的显著性水平。</w:t>
      </w:r>
    </w:p>
    <w:p w14:paraId="63112592" w14:textId="1C390703" w:rsidR="005F07D1" w:rsidRDefault="00C65393" w:rsidP="00C65393">
      <w:pPr>
        <w:pStyle w:val="2"/>
        <w:ind w:firstLine="482"/>
      </w:pPr>
      <w:r>
        <w:rPr>
          <w:rFonts w:hint="eastAsia"/>
        </w:rPr>
        <w:t>（四）稳健性检验</w:t>
      </w:r>
    </w:p>
    <w:p w14:paraId="23DB4EF2" w14:textId="77777777" w:rsidR="005F07D1" w:rsidRDefault="00000000" w:rsidP="0045411C">
      <w:r>
        <w:rPr>
          <w:rFonts w:hint="eastAsia"/>
        </w:rPr>
        <w:t>为了使前文的实证结果更加稳健可靠，本文进行了如下稳健性检验：</w:t>
      </w:r>
    </w:p>
    <w:p w14:paraId="7A933E66" w14:textId="58E6C1EB" w:rsidR="00C65393" w:rsidRDefault="00C65393" w:rsidP="006D2D35">
      <w:pPr>
        <w:pStyle w:val="3"/>
        <w:numPr>
          <w:ilvl w:val="0"/>
          <w:numId w:val="17"/>
        </w:numPr>
      </w:pPr>
      <w:r>
        <w:rPr>
          <w:rFonts w:hint="eastAsia"/>
        </w:rPr>
        <w:t>增加控制变量。</w:t>
      </w:r>
    </w:p>
    <w:p w14:paraId="2F706BE3" w14:textId="373EAD83" w:rsidR="005F07D1" w:rsidRDefault="00000000" w:rsidP="00C65393">
      <w:r w:rsidRPr="00C65393">
        <w:rPr>
          <w:rFonts w:hint="eastAsia"/>
        </w:rPr>
        <w:t>为了减少遗漏变量问题对回归结果的潜在影响，新增产业结构（</w:t>
      </w:r>
      <w:r w:rsidRPr="00C65393">
        <w:rPr>
          <w:rFonts w:hint="eastAsia"/>
        </w:rPr>
        <w:t>Is</w:t>
      </w:r>
      <w:r w:rsidRPr="00C65393">
        <w:rPr>
          <w:rFonts w:hint="eastAsia"/>
        </w:rPr>
        <w:t>）</w:t>
      </w:r>
      <w:r w:rsidRPr="00C65393">
        <w:t>这个控制变量进行回归，结果如</w:t>
      </w:r>
      <w:r w:rsidRPr="00C65393">
        <w:rPr>
          <w:rFonts w:hint="eastAsia"/>
        </w:rPr>
        <w:t>表</w:t>
      </w:r>
      <w:r w:rsidRPr="00C65393">
        <w:rPr>
          <w:rFonts w:hint="eastAsia"/>
        </w:rPr>
        <w:t xml:space="preserve">  </w:t>
      </w:r>
      <w:r w:rsidRPr="00C65393">
        <w:t>所示</w:t>
      </w:r>
      <w:r>
        <w:rPr>
          <w:rFonts w:hint="eastAsia"/>
        </w:rPr>
        <w:t>。</w:t>
      </w:r>
    </w:p>
    <w:p w14:paraId="06E7B25E" w14:textId="59032D41" w:rsidR="005F07D1" w:rsidRPr="00C65393" w:rsidRDefault="00000000" w:rsidP="00C65393">
      <w:pPr>
        <w:ind w:firstLine="420"/>
        <w:jc w:val="center"/>
        <w:rPr>
          <w:rFonts w:ascii="仿宋" w:eastAsia="仿宋" w:hAnsi="仿宋"/>
          <w:sz w:val="21"/>
          <w:szCs w:val="21"/>
        </w:rPr>
      </w:pPr>
      <w:r w:rsidRPr="00C65393">
        <w:rPr>
          <w:rFonts w:ascii="仿宋" w:eastAsia="仿宋" w:hAnsi="仿宋" w:hint="eastAsia"/>
          <w:sz w:val="21"/>
          <w:szCs w:val="21"/>
        </w:rPr>
        <w:t>表</w:t>
      </w:r>
      <w:r w:rsidR="00AE3FBC">
        <w:rPr>
          <w:rFonts w:ascii="仿宋" w:eastAsia="仿宋" w:hAnsi="仿宋" w:hint="eastAsia"/>
          <w:sz w:val="21"/>
          <w:szCs w:val="21"/>
        </w:rPr>
        <w:t>5</w:t>
      </w:r>
      <w:r w:rsidRPr="00C65393">
        <w:rPr>
          <w:rFonts w:ascii="仿宋" w:eastAsia="仿宋" w:hAnsi="仿宋" w:hint="eastAsia"/>
          <w:sz w:val="21"/>
          <w:szCs w:val="21"/>
        </w:rPr>
        <w:t xml:space="preserve"> 增加控制变量后的稳健性检验</w:t>
      </w:r>
    </w:p>
    <w:tbl>
      <w:tblPr>
        <w:tblW w:w="8364" w:type="dxa"/>
        <w:jc w:val="center"/>
        <w:tblLayout w:type="fixed"/>
        <w:tblLook w:val="04A0" w:firstRow="1" w:lastRow="0" w:firstColumn="1" w:lastColumn="0" w:noHBand="0" w:noVBand="1"/>
      </w:tblPr>
      <w:tblGrid>
        <w:gridCol w:w="1701"/>
        <w:gridCol w:w="2127"/>
        <w:gridCol w:w="2268"/>
        <w:gridCol w:w="2268"/>
      </w:tblGrid>
      <w:tr w:rsidR="00C65393" w:rsidRPr="00C65393" w14:paraId="230FCE2D" w14:textId="77777777" w:rsidTr="006D2D35">
        <w:trPr>
          <w:jc w:val="center"/>
        </w:trPr>
        <w:tc>
          <w:tcPr>
            <w:tcW w:w="1701" w:type="dxa"/>
            <w:vMerge w:val="restart"/>
            <w:tcBorders>
              <w:top w:val="single" w:sz="6" w:space="0" w:color="auto"/>
              <w:left w:val="nil"/>
              <w:right w:val="single" w:sz="4" w:space="0" w:color="auto"/>
            </w:tcBorders>
            <w:vAlign w:val="center"/>
          </w:tcPr>
          <w:p w14:paraId="01B27DE5" w14:textId="1B81A57E" w:rsidR="00C65393" w:rsidRPr="00C65393" w:rsidRDefault="00C65393" w:rsidP="00690CF5">
            <w:pPr>
              <w:ind w:firstLineChars="0" w:firstLine="0"/>
              <w:jc w:val="center"/>
              <w:rPr>
                <w:rFonts w:ascii="仿宋" w:eastAsia="仿宋" w:hAnsi="仿宋"/>
                <w:sz w:val="21"/>
                <w:szCs w:val="21"/>
              </w:rPr>
            </w:pPr>
            <w:r w:rsidRPr="00C65393">
              <w:rPr>
                <w:rFonts w:ascii="仿宋" w:eastAsia="仿宋" w:hAnsi="仿宋" w:hint="eastAsia"/>
                <w:sz w:val="21"/>
                <w:szCs w:val="21"/>
              </w:rPr>
              <w:t>变量名</w:t>
            </w:r>
          </w:p>
        </w:tc>
        <w:tc>
          <w:tcPr>
            <w:tcW w:w="2127" w:type="dxa"/>
            <w:tcBorders>
              <w:top w:val="single" w:sz="6" w:space="0" w:color="auto"/>
              <w:left w:val="single" w:sz="4" w:space="0" w:color="auto"/>
              <w:bottom w:val="single" w:sz="4" w:space="0" w:color="auto"/>
              <w:right w:val="single" w:sz="4" w:space="0" w:color="auto"/>
            </w:tcBorders>
            <w:vAlign w:val="center"/>
          </w:tcPr>
          <w:p w14:paraId="37946114" w14:textId="77777777" w:rsidR="00C65393" w:rsidRPr="00C65393" w:rsidRDefault="00C65393" w:rsidP="00690CF5">
            <w:pPr>
              <w:ind w:firstLineChars="0" w:firstLine="0"/>
              <w:jc w:val="center"/>
              <w:rPr>
                <w:rFonts w:ascii="仿宋" w:eastAsia="仿宋" w:hAnsi="仿宋"/>
                <w:sz w:val="21"/>
                <w:szCs w:val="21"/>
              </w:rPr>
            </w:pPr>
            <w:r w:rsidRPr="00C65393">
              <w:rPr>
                <w:rFonts w:ascii="仿宋" w:eastAsia="仿宋" w:hAnsi="仿宋"/>
                <w:sz w:val="21"/>
                <w:szCs w:val="21"/>
              </w:rPr>
              <w:t>(1)</w:t>
            </w:r>
            <w:r w:rsidRPr="00C65393">
              <w:rPr>
                <w:rFonts w:ascii="仿宋" w:eastAsia="仿宋" w:hAnsi="仿宋" w:hint="eastAsia"/>
                <w:sz w:val="21"/>
                <w:szCs w:val="21"/>
              </w:rPr>
              <w:t>总路径</w:t>
            </w:r>
          </w:p>
        </w:tc>
        <w:tc>
          <w:tcPr>
            <w:tcW w:w="2268" w:type="dxa"/>
            <w:tcBorders>
              <w:top w:val="single" w:sz="6" w:space="0" w:color="auto"/>
              <w:left w:val="single" w:sz="4" w:space="0" w:color="auto"/>
              <w:bottom w:val="single" w:sz="4" w:space="0" w:color="auto"/>
              <w:right w:val="single" w:sz="4" w:space="0" w:color="auto"/>
            </w:tcBorders>
            <w:vAlign w:val="center"/>
          </w:tcPr>
          <w:p w14:paraId="525D2085" w14:textId="77777777" w:rsidR="00C65393" w:rsidRPr="00C65393" w:rsidRDefault="00C65393" w:rsidP="00690CF5">
            <w:pPr>
              <w:ind w:firstLineChars="0" w:firstLine="0"/>
              <w:jc w:val="center"/>
              <w:rPr>
                <w:rFonts w:ascii="仿宋" w:eastAsia="仿宋" w:hAnsi="仿宋"/>
                <w:sz w:val="21"/>
                <w:szCs w:val="21"/>
              </w:rPr>
            </w:pPr>
            <w:r w:rsidRPr="00C65393">
              <w:rPr>
                <w:rFonts w:ascii="仿宋" w:eastAsia="仿宋" w:hAnsi="仿宋"/>
                <w:sz w:val="21"/>
                <w:szCs w:val="21"/>
              </w:rPr>
              <w:t>(2)</w:t>
            </w:r>
            <w:r w:rsidRPr="00C65393">
              <w:rPr>
                <w:rFonts w:ascii="仿宋" w:eastAsia="仿宋" w:hAnsi="仿宋" w:hint="eastAsia"/>
                <w:sz w:val="21"/>
                <w:szCs w:val="21"/>
              </w:rPr>
              <w:t>间接路径</w:t>
            </w:r>
          </w:p>
        </w:tc>
        <w:tc>
          <w:tcPr>
            <w:tcW w:w="2268" w:type="dxa"/>
            <w:tcBorders>
              <w:top w:val="single" w:sz="6" w:space="0" w:color="auto"/>
              <w:left w:val="single" w:sz="4" w:space="0" w:color="auto"/>
              <w:bottom w:val="single" w:sz="4" w:space="0" w:color="auto"/>
              <w:right w:val="nil"/>
            </w:tcBorders>
            <w:vAlign w:val="center"/>
          </w:tcPr>
          <w:p w14:paraId="59B58082" w14:textId="77777777" w:rsidR="00C65393" w:rsidRPr="00C65393" w:rsidRDefault="00C65393" w:rsidP="00690CF5">
            <w:pPr>
              <w:ind w:firstLineChars="0" w:firstLine="0"/>
              <w:jc w:val="center"/>
              <w:rPr>
                <w:rFonts w:ascii="仿宋" w:eastAsia="仿宋" w:hAnsi="仿宋"/>
                <w:sz w:val="21"/>
                <w:szCs w:val="21"/>
              </w:rPr>
            </w:pPr>
            <w:r w:rsidRPr="00C65393">
              <w:rPr>
                <w:rFonts w:ascii="仿宋" w:eastAsia="仿宋" w:hAnsi="仿宋"/>
                <w:sz w:val="21"/>
                <w:szCs w:val="21"/>
              </w:rPr>
              <w:t>(3)</w:t>
            </w:r>
            <w:r w:rsidRPr="00C65393">
              <w:rPr>
                <w:rFonts w:ascii="仿宋" w:eastAsia="仿宋" w:hAnsi="仿宋" w:hint="eastAsia"/>
                <w:sz w:val="21"/>
                <w:szCs w:val="21"/>
              </w:rPr>
              <w:t>直接路径</w:t>
            </w:r>
          </w:p>
        </w:tc>
      </w:tr>
      <w:tr w:rsidR="00C65393" w:rsidRPr="00C65393" w14:paraId="64E0819D" w14:textId="77777777" w:rsidTr="006D2D35">
        <w:trPr>
          <w:jc w:val="center"/>
        </w:trPr>
        <w:tc>
          <w:tcPr>
            <w:tcW w:w="1701" w:type="dxa"/>
            <w:vMerge/>
            <w:tcBorders>
              <w:left w:val="nil"/>
              <w:bottom w:val="single" w:sz="6" w:space="0" w:color="auto"/>
              <w:right w:val="single" w:sz="4" w:space="0" w:color="auto"/>
            </w:tcBorders>
            <w:vAlign w:val="center"/>
          </w:tcPr>
          <w:p w14:paraId="30654ABF" w14:textId="0CB1C93B" w:rsidR="00C65393" w:rsidRPr="00C65393" w:rsidRDefault="00C65393" w:rsidP="00690CF5">
            <w:pPr>
              <w:ind w:firstLineChars="0" w:firstLine="0"/>
              <w:jc w:val="center"/>
              <w:rPr>
                <w:rFonts w:ascii="仿宋" w:eastAsia="仿宋" w:hAnsi="仿宋"/>
                <w:sz w:val="21"/>
                <w:szCs w:val="21"/>
              </w:rPr>
            </w:pPr>
          </w:p>
        </w:tc>
        <w:tc>
          <w:tcPr>
            <w:tcW w:w="2127" w:type="dxa"/>
            <w:tcBorders>
              <w:top w:val="single" w:sz="4" w:space="0" w:color="auto"/>
              <w:left w:val="single" w:sz="4" w:space="0" w:color="auto"/>
              <w:bottom w:val="single" w:sz="6" w:space="0" w:color="auto"/>
              <w:right w:val="single" w:sz="4" w:space="0" w:color="auto"/>
            </w:tcBorders>
            <w:vAlign w:val="center"/>
          </w:tcPr>
          <w:p w14:paraId="1D87DA48" w14:textId="3B78A4EA" w:rsidR="00C65393" w:rsidRPr="00C65393" w:rsidRDefault="00C65393" w:rsidP="006D2D35">
            <w:pPr>
              <w:ind w:firstLineChars="0" w:firstLine="0"/>
              <w:jc w:val="center"/>
              <w:rPr>
                <w:rFonts w:ascii="仿宋" w:eastAsia="仿宋" w:hAnsi="仿宋"/>
                <w:sz w:val="21"/>
                <w:szCs w:val="21"/>
              </w:rPr>
            </w:pPr>
            <w:r w:rsidRPr="00C65393">
              <w:rPr>
                <w:rFonts w:ascii="仿宋" w:eastAsia="仿宋" w:hAnsi="仿宋" w:hint="eastAsia"/>
                <w:sz w:val="21"/>
                <w:szCs w:val="21"/>
              </w:rPr>
              <w:t>能源消费结构（E</w:t>
            </w:r>
            <w:r w:rsidRPr="00C65393">
              <w:rPr>
                <w:rFonts w:ascii="仿宋" w:eastAsia="仿宋" w:hAnsi="仿宋"/>
                <w:sz w:val="21"/>
                <w:szCs w:val="21"/>
              </w:rPr>
              <w:t>S</w:t>
            </w:r>
            <w:r w:rsidRPr="00C65393">
              <w:rPr>
                <w:rFonts w:ascii="仿宋" w:eastAsia="仿宋" w:hAnsi="仿宋" w:hint="eastAsia"/>
                <w:sz w:val="21"/>
                <w:szCs w:val="21"/>
              </w:rPr>
              <w:t>）</w:t>
            </w:r>
          </w:p>
        </w:tc>
        <w:tc>
          <w:tcPr>
            <w:tcW w:w="2268" w:type="dxa"/>
            <w:tcBorders>
              <w:top w:val="single" w:sz="4" w:space="0" w:color="auto"/>
              <w:left w:val="single" w:sz="4" w:space="0" w:color="auto"/>
              <w:bottom w:val="single" w:sz="6" w:space="0" w:color="auto"/>
              <w:right w:val="single" w:sz="4" w:space="0" w:color="auto"/>
            </w:tcBorders>
            <w:vAlign w:val="center"/>
          </w:tcPr>
          <w:p w14:paraId="114AA65B" w14:textId="1E5B6D17" w:rsidR="00C65393" w:rsidRPr="00C65393" w:rsidRDefault="00C65393" w:rsidP="006D2D35">
            <w:pPr>
              <w:ind w:firstLineChars="0" w:firstLine="0"/>
              <w:jc w:val="center"/>
              <w:rPr>
                <w:rFonts w:ascii="仿宋" w:eastAsia="仿宋" w:hAnsi="仿宋"/>
                <w:sz w:val="21"/>
                <w:szCs w:val="21"/>
              </w:rPr>
            </w:pPr>
            <w:r w:rsidRPr="00C65393">
              <w:rPr>
                <w:rFonts w:ascii="仿宋" w:eastAsia="仿宋" w:hAnsi="仿宋" w:hint="eastAsia"/>
                <w:sz w:val="21"/>
                <w:szCs w:val="21"/>
              </w:rPr>
              <w:t>技术创新（TP）</w:t>
            </w:r>
          </w:p>
        </w:tc>
        <w:tc>
          <w:tcPr>
            <w:tcW w:w="2268" w:type="dxa"/>
            <w:tcBorders>
              <w:top w:val="single" w:sz="4" w:space="0" w:color="auto"/>
              <w:left w:val="single" w:sz="4" w:space="0" w:color="auto"/>
              <w:bottom w:val="single" w:sz="6" w:space="0" w:color="auto"/>
              <w:right w:val="nil"/>
            </w:tcBorders>
            <w:vAlign w:val="center"/>
          </w:tcPr>
          <w:p w14:paraId="77DC98D8" w14:textId="77777777" w:rsidR="00C65393" w:rsidRPr="00C65393" w:rsidRDefault="00C65393" w:rsidP="00690CF5">
            <w:pPr>
              <w:ind w:firstLineChars="0" w:firstLine="0"/>
              <w:jc w:val="center"/>
              <w:rPr>
                <w:rFonts w:ascii="仿宋" w:eastAsia="仿宋" w:hAnsi="仿宋"/>
                <w:sz w:val="21"/>
                <w:szCs w:val="21"/>
              </w:rPr>
            </w:pPr>
            <w:r w:rsidRPr="00C65393">
              <w:rPr>
                <w:rFonts w:ascii="仿宋" w:eastAsia="仿宋" w:hAnsi="仿宋" w:hint="eastAsia"/>
                <w:sz w:val="21"/>
                <w:szCs w:val="21"/>
              </w:rPr>
              <w:t>能源消费结构（E</w:t>
            </w:r>
            <w:r w:rsidRPr="00C65393">
              <w:rPr>
                <w:rFonts w:ascii="仿宋" w:eastAsia="仿宋" w:hAnsi="仿宋"/>
                <w:sz w:val="21"/>
                <w:szCs w:val="21"/>
              </w:rPr>
              <w:t>S</w:t>
            </w:r>
            <w:r w:rsidRPr="00C65393">
              <w:rPr>
                <w:rFonts w:ascii="仿宋" w:eastAsia="仿宋" w:hAnsi="仿宋" w:hint="eastAsia"/>
                <w:sz w:val="21"/>
                <w:szCs w:val="21"/>
              </w:rPr>
              <w:t>）</w:t>
            </w:r>
          </w:p>
        </w:tc>
      </w:tr>
      <w:tr w:rsidR="005F07D1" w:rsidRPr="00C65393" w14:paraId="59D80044" w14:textId="77777777" w:rsidTr="006D2D35">
        <w:trPr>
          <w:jc w:val="center"/>
        </w:trPr>
        <w:tc>
          <w:tcPr>
            <w:tcW w:w="1701" w:type="dxa"/>
            <w:tcBorders>
              <w:top w:val="nil"/>
              <w:left w:val="nil"/>
              <w:bottom w:val="nil"/>
              <w:right w:val="single" w:sz="4" w:space="0" w:color="auto"/>
            </w:tcBorders>
            <w:vAlign w:val="center"/>
          </w:tcPr>
          <w:p w14:paraId="13D95AA6"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绿色金融指数（G</w:t>
            </w:r>
            <w:r w:rsidRPr="00C65393">
              <w:rPr>
                <w:rFonts w:ascii="仿宋" w:eastAsia="仿宋" w:hAnsi="仿宋"/>
                <w:sz w:val="21"/>
                <w:szCs w:val="21"/>
              </w:rPr>
              <w:t>F</w:t>
            </w:r>
            <w:r w:rsidRPr="00C65393">
              <w:rPr>
                <w:rFonts w:ascii="仿宋" w:eastAsia="仿宋" w:hAnsi="仿宋" w:hint="eastAsia"/>
                <w:sz w:val="21"/>
                <w:szCs w:val="21"/>
              </w:rPr>
              <w:t>）</w:t>
            </w:r>
          </w:p>
        </w:tc>
        <w:tc>
          <w:tcPr>
            <w:tcW w:w="2127" w:type="dxa"/>
            <w:tcBorders>
              <w:top w:val="nil"/>
              <w:left w:val="single" w:sz="4" w:space="0" w:color="auto"/>
              <w:bottom w:val="nil"/>
              <w:right w:val="single" w:sz="4" w:space="0" w:color="auto"/>
            </w:tcBorders>
            <w:vAlign w:val="center"/>
          </w:tcPr>
          <w:p w14:paraId="14775A64"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-0.</w:t>
            </w:r>
            <w:r w:rsidRPr="00C65393">
              <w:rPr>
                <w:rFonts w:ascii="仿宋" w:eastAsia="仿宋" w:hAnsi="仿宋" w:hint="eastAsia"/>
                <w:sz w:val="21"/>
                <w:szCs w:val="21"/>
              </w:rPr>
              <w:t>556</w:t>
            </w:r>
            <w:r w:rsidRPr="00C65393">
              <w:rPr>
                <w:rFonts w:ascii="仿宋" w:eastAsia="仿宋" w:hAnsi="仿宋"/>
                <w:sz w:val="21"/>
                <w:szCs w:val="21"/>
              </w:rPr>
              <w:t>***</w:t>
            </w:r>
          </w:p>
        </w:tc>
        <w:tc>
          <w:tcPr>
            <w:tcW w:w="2268" w:type="dxa"/>
            <w:tcBorders>
              <w:top w:val="nil"/>
              <w:left w:val="single" w:sz="4" w:space="0" w:color="auto"/>
              <w:bottom w:val="nil"/>
              <w:right w:val="single" w:sz="4" w:space="0" w:color="auto"/>
            </w:tcBorders>
            <w:vAlign w:val="center"/>
          </w:tcPr>
          <w:p w14:paraId="41D357C4"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5.301</w:t>
            </w:r>
            <w:r w:rsidRPr="00C65393">
              <w:rPr>
                <w:rFonts w:ascii="仿宋" w:eastAsia="仿宋" w:hAnsi="仿宋"/>
                <w:sz w:val="21"/>
                <w:szCs w:val="21"/>
              </w:rPr>
              <w:t>**</w:t>
            </w:r>
            <w:r w:rsidRPr="00C65393">
              <w:rPr>
                <w:rFonts w:ascii="仿宋" w:eastAsia="仿宋" w:hAnsi="仿宋" w:hint="eastAsia"/>
                <w:sz w:val="21"/>
                <w:szCs w:val="21"/>
              </w:rPr>
              <w:t>*</w:t>
            </w:r>
          </w:p>
        </w:tc>
        <w:tc>
          <w:tcPr>
            <w:tcW w:w="2268" w:type="dxa"/>
            <w:tcBorders>
              <w:top w:val="nil"/>
              <w:left w:val="single" w:sz="4" w:space="0" w:color="auto"/>
              <w:bottom w:val="nil"/>
              <w:right w:val="nil"/>
            </w:tcBorders>
            <w:vAlign w:val="center"/>
          </w:tcPr>
          <w:p w14:paraId="63DABED6"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-0.</w:t>
            </w:r>
            <w:r w:rsidRPr="00C65393">
              <w:rPr>
                <w:rFonts w:ascii="仿宋" w:eastAsia="仿宋" w:hAnsi="仿宋" w:hint="eastAsia"/>
                <w:sz w:val="21"/>
                <w:szCs w:val="21"/>
              </w:rPr>
              <w:t>466</w:t>
            </w:r>
            <w:r w:rsidRPr="00C65393">
              <w:rPr>
                <w:rFonts w:ascii="仿宋" w:eastAsia="仿宋" w:hAnsi="仿宋"/>
                <w:sz w:val="21"/>
                <w:szCs w:val="21"/>
              </w:rPr>
              <w:t>**</w:t>
            </w:r>
            <w:r w:rsidRPr="00C65393">
              <w:rPr>
                <w:rFonts w:ascii="仿宋" w:eastAsia="仿宋" w:hAnsi="仿宋" w:hint="eastAsia"/>
                <w:sz w:val="21"/>
                <w:szCs w:val="21"/>
              </w:rPr>
              <w:t>*</w:t>
            </w:r>
          </w:p>
        </w:tc>
      </w:tr>
      <w:tr w:rsidR="005F07D1" w:rsidRPr="00C65393" w14:paraId="164141B0" w14:textId="77777777" w:rsidTr="006D2D35">
        <w:trPr>
          <w:jc w:val="center"/>
        </w:trPr>
        <w:tc>
          <w:tcPr>
            <w:tcW w:w="1701" w:type="dxa"/>
            <w:tcBorders>
              <w:top w:val="nil"/>
              <w:left w:val="nil"/>
              <w:bottom w:val="nil"/>
              <w:right w:val="single" w:sz="4" w:space="0" w:color="auto"/>
            </w:tcBorders>
            <w:vAlign w:val="center"/>
          </w:tcPr>
          <w:p w14:paraId="4E8F1974" w14:textId="77777777" w:rsidR="005F07D1" w:rsidRPr="00C65393"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62D04E6E"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(0.12</w:t>
            </w:r>
            <w:r w:rsidRPr="00C65393">
              <w:rPr>
                <w:rFonts w:ascii="仿宋" w:eastAsia="仿宋" w:hAnsi="仿宋" w:hint="eastAsia"/>
                <w:sz w:val="21"/>
                <w:szCs w:val="21"/>
              </w:rPr>
              <w:t>4</w:t>
            </w:r>
            <w:r w:rsidRPr="00C65393">
              <w:rPr>
                <w:rFonts w:ascii="仿宋" w:eastAsia="仿宋" w:hAnsi="仿宋"/>
                <w:sz w:val="21"/>
                <w:szCs w:val="21"/>
              </w:rPr>
              <w:t>)</w:t>
            </w:r>
          </w:p>
        </w:tc>
        <w:tc>
          <w:tcPr>
            <w:tcW w:w="2268" w:type="dxa"/>
            <w:tcBorders>
              <w:top w:val="nil"/>
              <w:left w:val="single" w:sz="4" w:space="0" w:color="auto"/>
              <w:bottom w:val="nil"/>
              <w:right w:val="single" w:sz="4" w:space="0" w:color="auto"/>
            </w:tcBorders>
            <w:vAlign w:val="center"/>
          </w:tcPr>
          <w:p w14:paraId="6C5DC340"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w:t>
            </w:r>
            <w:r w:rsidRPr="00C65393">
              <w:rPr>
                <w:rFonts w:ascii="仿宋" w:eastAsia="仿宋" w:hAnsi="仿宋" w:hint="eastAsia"/>
                <w:sz w:val="21"/>
                <w:szCs w:val="21"/>
              </w:rPr>
              <w:t>1.541</w:t>
            </w:r>
            <w:r w:rsidRPr="00C65393">
              <w:rPr>
                <w:rFonts w:ascii="仿宋" w:eastAsia="仿宋" w:hAnsi="仿宋"/>
                <w:sz w:val="21"/>
                <w:szCs w:val="21"/>
              </w:rPr>
              <w:t>)</w:t>
            </w:r>
          </w:p>
        </w:tc>
        <w:tc>
          <w:tcPr>
            <w:tcW w:w="2268" w:type="dxa"/>
            <w:tcBorders>
              <w:top w:val="nil"/>
              <w:left w:val="single" w:sz="4" w:space="0" w:color="auto"/>
              <w:bottom w:val="nil"/>
              <w:right w:val="nil"/>
            </w:tcBorders>
            <w:vAlign w:val="center"/>
          </w:tcPr>
          <w:p w14:paraId="641860AA"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(0.1</w:t>
            </w:r>
            <w:r w:rsidRPr="00C65393">
              <w:rPr>
                <w:rFonts w:ascii="仿宋" w:eastAsia="仿宋" w:hAnsi="仿宋" w:hint="eastAsia"/>
                <w:sz w:val="21"/>
                <w:szCs w:val="21"/>
              </w:rPr>
              <w:t>29</w:t>
            </w:r>
            <w:r w:rsidRPr="00C65393">
              <w:rPr>
                <w:rFonts w:ascii="仿宋" w:eastAsia="仿宋" w:hAnsi="仿宋"/>
                <w:sz w:val="21"/>
                <w:szCs w:val="21"/>
              </w:rPr>
              <w:t>)</w:t>
            </w:r>
          </w:p>
        </w:tc>
      </w:tr>
      <w:tr w:rsidR="005F07D1" w:rsidRPr="00C65393" w14:paraId="6FB4380F" w14:textId="77777777" w:rsidTr="006D2D35">
        <w:trPr>
          <w:jc w:val="center"/>
        </w:trPr>
        <w:tc>
          <w:tcPr>
            <w:tcW w:w="1701" w:type="dxa"/>
            <w:tcBorders>
              <w:top w:val="nil"/>
              <w:left w:val="nil"/>
              <w:bottom w:val="nil"/>
              <w:right w:val="single" w:sz="4" w:space="0" w:color="auto"/>
            </w:tcBorders>
            <w:vAlign w:val="center"/>
          </w:tcPr>
          <w:p w14:paraId="6081ADF0"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技术创新（TP）</w:t>
            </w:r>
          </w:p>
        </w:tc>
        <w:tc>
          <w:tcPr>
            <w:tcW w:w="2127" w:type="dxa"/>
            <w:tcBorders>
              <w:top w:val="nil"/>
              <w:left w:val="single" w:sz="4" w:space="0" w:color="auto"/>
              <w:bottom w:val="nil"/>
              <w:right w:val="single" w:sz="4" w:space="0" w:color="auto"/>
            </w:tcBorders>
            <w:vAlign w:val="center"/>
          </w:tcPr>
          <w:p w14:paraId="69FAC872" w14:textId="77777777" w:rsidR="005F07D1" w:rsidRPr="00C65393" w:rsidRDefault="005F07D1" w:rsidP="00690CF5">
            <w:pPr>
              <w:ind w:firstLineChars="0" w:firstLine="0"/>
              <w:jc w:val="center"/>
              <w:rPr>
                <w:rFonts w:ascii="仿宋" w:eastAsia="仿宋" w:hAnsi="仿宋"/>
                <w:sz w:val="21"/>
                <w:szCs w:val="21"/>
              </w:rPr>
            </w:pPr>
          </w:p>
        </w:tc>
        <w:tc>
          <w:tcPr>
            <w:tcW w:w="2268" w:type="dxa"/>
            <w:tcBorders>
              <w:top w:val="nil"/>
              <w:left w:val="single" w:sz="4" w:space="0" w:color="auto"/>
              <w:bottom w:val="nil"/>
              <w:right w:val="single" w:sz="4" w:space="0" w:color="auto"/>
            </w:tcBorders>
            <w:vAlign w:val="center"/>
          </w:tcPr>
          <w:p w14:paraId="54E8ABB5" w14:textId="77777777" w:rsidR="005F07D1" w:rsidRPr="00C65393" w:rsidRDefault="005F07D1" w:rsidP="00690CF5">
            <w:pPr>
              <w:ind w:firstLineChars="0" w:firstLine="0"/>
              <w:jc w:val="center"/>
              <w:rPr>
                <w:rFonts w:ascii="仿宋" w:eastAsia="仿宋" w:hAnsi="仿宋"/>
                <w:sz w:val="21"/>
                <w:szCs w:val="21"/>
              </w:rPr>
            </w:pPr>
          </w:p>
        </w:tc>
        <w:tc>
          <w:tcPr>
            <w:tcW w:w="2268" w:type="dxa"/>
            <w:tcBorders>
              <w:top w:val="nil"/>
              <w:left w:val="single" w:sz="4" w:space="0" w:color="auto"/>
              <w:bottom w:val="nil"/>
              <w:right w:val="nil"/>
            </w:tcBorders>
            <w:vAlign w:val="center"/>
          </w:tcPr>
          <w:p w14:paraId="7D1026FA"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-0.017</w:t>
            </w:r>
            <w:r w:rsidRPr="00C65393">
              <w:rPr>
                <w:rFonts w:ascii="仿宋" w:eastAsia="仿宋" w:hAnsi="仿宋"/>
                <w:sz w:val="21"/>
                <w:szCs w:val="21"/>
              </w:rPr>
              <w:t>**</w:t>
            </w:r>
          </w:p>
        </w:tc>
      </w:tr>
      <w:tr w:rsidR="005F07D1" w:rsidRPr="00C65393" w14:paraId="2BBD7594" w14:textId="77777777" w:rsidTr="006D2D35">
        <w:trPr>
          <w:jc w:val="center"/>
        </w:trPr>
        <w:tc>
          <w:tcPr>
            <w:tcW w:w="1701" w:type="dxa"/>
            <w:tcBorders>
              <w:top w:val="nil"/>
              <w:left w:val="nil"/>
              <w:bottom w:val="nil"/>
              <w:right w:val="single" w:sz="4" w:space="0" w:color="auto"/>
            </w:tcBorders>
            <w:vAlign w:val="center"/>
          </w:tcPr>
          <w:p w14:paraId="6FD77F5F" w14:textId="77777777" w:rsidR="005F07D1" w:rsidRPr="00C65393"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393E5D51" w14:textId="77777777" w:rsidR="005F07D1" w:rsidRPr="00C65393" w:rsidRDefault="005F07D1" w:rsidP="00690CF5">
            <w:pPr>
              <w:ind w:firstLineChars="0" w:firstLine="0"/>
              <w:jc w:val="center"/>
              <w:rPr>
                <w:rFonts w:ascii="仿宋" w:eastAsia="仿宋" w:hAnsi="仿宋"/>
                <w:sz w:val="21"/>
                <w:szCs w:val="21"/>
              </w:rPr>
            </w:pPr>
          </w:p>
        </w:tc>
        <w:tc>
          <w:tcPr>
            <w:tcW w:w="2268" w:type="dxa"/>
            <w:tcBorders>
              <w:top w:val="nil"/>
              <w:left w:val="single" w:sz="4" w:space="0" w:color="auto"/>
              <w:bottom w:val="nil"/>
              <w:right w:val="single" w:sz="4" w:space="0" w:color="auto"/>
            </w:tcBorders>
            <w:vAlign w:val="center"/>
          </w:tcPr>
          <w:p w14:paraId="288EC55E" w14:textId="77777777" w:rsidR="005F07D1" w:rsidRPr="00C65393" w:rsidRDefault="005F07D1" w:rsidP="00690CF5">
            <w:pPr>
              <w:ind w:firstLineChars="0" w:firstLine="0"/>
              <w:jc w:val="center"/>
              <w:rPr>
                <w:rFonts w:ascii="仿宋" w:eastAsia="仿宋" w:hAnsi="仿宋"/>
                <w:sz w:val="21"/>
                <w:szCs w:val="21"/>
              </w:rPr>
            </w:pPr>
          </w:p>
        </w:tc>
        <w:tc>
          <w:tcPr>
            <w:tcW w:w="2268" w:type="dxa"/>
            <w:tcBorders>
              <w:top w:val="nil"/>
              <w:left w:val="single" w:sz="4" w:space="0" w:color="auto"/>
              <w:bottom w:val="nil"/>
              <w:right w:val="nil"/>
            </w:tcBorders>
            <w:vAlign w:val="center"/>
          </w:tcPr>
          <w:p w14:paraId="083671EE"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sz w:val="21"/>
                <w:szCs w:val="21"/>
              </w:rPr>
              <w:t>(0.0</w:t>
            </w:r>
            <w:r w:rsidRPr="00C65393">
              <w:rPr>
                <w:rFonts w:ascii="仿宋" w:eastAsia="仿宋" w:hAnsi="仿宋" w:hint="eastAsia"/>
                <w:sz w:val="21"/>
                <w:szCs w:val="21"/>
              </w:rPr>
              <w:t>08</w:t>
            </w:r>
            <w:r w:rsidRPr="00C65393">
              <w:rPr>
                <w:rFonts w:ascii="仿宋" w:eastAsia="仿宋" w:hAnsi="仿宋"/>
                <w:sz w:val="21"/>
                <w:szCs w:val="21"/>
              </w:rPr>
              <w:t>)</w:t>
            </w:r>
          </w:p>
        </w:tc>
      </w:tr>
      <w:tr w:rsidR="005F07D1" w:rsidRPr="00C65393" w14:paraId="3E1951E8" w14:textId="77777777" w:rsidTr="006D2D35">
        <w:trPr>
          <w:jc w:val="center"/>
        </w:trPr>
        <w:tc>
          <w:tcPr>
            <w:tcW w:w="1701" w:type="dxa"/>
            <w:tcBorders>
              <w:top w:val="nil"/>
              <w:left w:val="nil"/>
              <w:bottom w:val="nil"/>
              <w:right w:val="single" w:sz="4" w:space="0" w:color="auto"/>
            </w:tcBorders>
            <w:vAlign w:val="center"/>
          </w:tcPr>
          <w:p w14:paraId="1E54787F"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控制变量</w:t>
            </w:r>
          </w:p>
        </w:tc>
        <w:tc>
          <w:tcPr>
            <w:tcW w:w="2127" w:type="dxa"/>
            <w:tcBorders>
              <w:top w:val="nil"/>
              <w:left w:val="single" w:sz="4" w:space="0" w:color="auto"/>
              <w:bottom w:val="nil"/>
              <w:right w:val="single" w:sz="4" w:space="0" w:color="auto"/>
            </w:tcBorders>
            <w:vAlign w:val="center"/>
          </w:tcPr>
          <w:p w14:paraId="299F6FCA"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控制</w:t>
            </w:r>
          </w:p>
        </w:tc>
        <w:tc>
          <w:tcPr>
            <w:tcW w:w="2268" w:type="dxa"/>
            <w:tcBorders>
              <w:top w:val="nil"/>
              <w:left w:val="single" w:sz="4" w:space="0" w:color="auto"/>
              <w:bottom w:val="nil"/>
              <w:right w:val="single" w:sz="4" w:space="0" w:color="auto"/>
            </w:tcBorders>
            <w:vAlign w:val="center"/>
          </w:tcPr>
          <w:p w14:paraId="64904F14"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控制</w:t>
            </w:r>
          </w:p>
        </w:tc>
        <w:tc>
          <w:tcPr>
            <w:tcW w:w="2268" w:type="dxa"/>
            <w:tcBorders>
              <w:top w:val="nil"/>
              <w:left w:val="single" w:sz="4" w:space="0" w:color="auto"/>
              <w:bottom w:val="nil"/>
              <w:right w:val="nil"/>
            </w:tcBorders>
            <w:vAlign w:val="center"/>
          </w:tcPr>
          <w:p w14:paraId="0F36A309"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控制</w:t>
            </w:r>
          </w:p>
        </w:tc>
      </w:tr>
      <w:tr w:rsidR="005F07D1" w:rsidRPr="00C65393" w14:paraId="436109CC" w14:textId="77777777" w:rsidTr="006D2D35">
        <w:trPr>
          <w:jc w:val="center"/>
        </w:trPr>
        <w:tc>
          <w:tcPr>
            <w:tcW w:w="1701" w:type="dxa"/>
            <w:tcBorders>
              <w:top w:val="nil"/>
              <w:left w:val="nil"/>
              <w:bottom w:val="nil"/>
              <w:right w:val="single" w:sz="4" w:space="0" w:color="auto"/>
            </w:tcBorders>
            <w:vAlign w:val="center"/>
          </w:tcPr>
          <w:p w14:paraId="6C680F9D"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地区固定</w:t>
            </w:r>
          </w:p>
        </w:tc>
        <w:tc>
          <w:tcPr>
            <w:tcW w:w="2127" w:type="dxa"/>
            <w:tcBorders>
              <w:top w:val="nil"/>
              <w:left w:val="single" w:sz="4" w:space="0" w:color="auto"/>
              <w:bottom w:val="nil"/>
              <w:right w:val="single" w:sz="4" w:space="0" w:color="auto"/>
            </w:tcBorders>
            <w:vAlign w:val="center"/>
          </w:tcPr>
          <w:p w14:paraId="6F2BEE2C"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c>
          <w:tcPr>
            <w:tcW w:w="2268" w:type="dxa"/>
            <w:tcBorders>
              <w:top w:val="nil"/>
              <w:left w:val="single" w:sz="4" w:space="0" w:color="auto"/>
              <w:bottom w:val="nil"/>
              <w:right w:val="single" w:sz="4" w:space="0" w:color="auto"/>
            </w:tcBorders>
            <w:vAlign w:val="center"/>
          </w:tcPr>
          <w:p w14:paraId="035CFCCF"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c>
          <w:tcPr>
            <w:tcW w:w="2268" w:type="dxa"/>
            <w:tcBorders>
              <w:top w:val="nil"/>
              <w:left w:val="single" w:sz="4" w:space="0" w:color="auto"/>
              <w:bottom w:val="nil"/>
              <w:right w:val="nil"/>
            </w:tcBorders>
            <w:vAlign w:val="center"/>
          </w:tcPr>
          <w:p w14:paraId="215B3731"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r>
      <w:tr w:rsidR="005F07D1" w:rsidRPr="00C65393" w14:paraId="14D33157" w14:textId="77777777" w:rsidTr="006D2D35">
        <w:trPr>
          <w:jc w:val="center"/>
        </w:trPr>
        <w:tc>
          <w:tcPr>
            <w:tcW w:w="1701" w:type="dxa"/>
            <w:tcBorders>
              <w:top w:val="nil"/>
              <w:left w:val="nil"/>
              <w:bottom w:val="nil"/>
              <w:right w:val="single" w:sz="4" w:space="0" w:color="auto"/>
            </w:tcBorders>
            <w:vAlign w:val="center"/>
          </w:tcPr>
          <w:p w14:paraId="7CC1BD62"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时间固定</w:t>
            </w:r>
          </w:p>
        </w:tc>
        <w:tc>
          <w:tcPr>
            <w:tcW w:w="2127" w:type="dxa"/>
            <w:tcBorders>
              <w:top w:val="nil"/>
              <w:left w:val="single" w:sz="4" w:space="0" w:color="auto"/>
              <w:bottom w:val="nil"/>
              <w:right w:val="single" w:sz="4" w:space="0" w:color="auto"/>
            </w:tcBorders>
            <w:vAlign w:val="center"/>
          </w:tcPr>
          <w:p w14:paraId="2F8B567B"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c>
          <w:tcPr>
            <w:tcW w:w="2268" w:type="dxa"/>
            <w:tcBorders>
              <w:top w:val="nil"/>
              <w:left w:val="single" w:sz="4" w:space="0" w:color="auto"/>
              <w:bottom w:val="nil"/>
              <w:right w:val="single" w:sz="4" w:space="0" w:color="auto"/>
            </w:tcBorders>
            <w:vAlign w:val="center"/>
          </w:tcPr>
          <w:p w14:paraId="0F818C85"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c>
          <w:tcPr>
            <w:tcW w:w="2268" w:type="dxa"/>
            <w:tcBorders>
              <w:top w:val="nil"/>
              <w:left w:val="single" w:sz="4" w:space="0" w:color="auto"/>
              <w:bottom w:val="nil"/>
              <w:right w:val="nil"/>
            </w:tcBorders>
            <w:vAlign w:val="center"/>
          </w:tcPr>
          <w:p w14:paraId="77F88A01"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是</w:t>
            </w:r>
          </w:p>
        </w:tc>
      </w:tr>
      <w:tr w:rsidR="005F07D1" w:rsidRPr="00C65393" w14:paraId="4C9A719D" w14:textId="77777777" w:rsidTr="00AE3FBC">
        <w:trPr>
          <w:jc w:val="center"/>
        </w:trPr>
        <w:tc>
          <w:tcPr>
            <w:tcW w:w="1701" w:type="dxa"/>
            <w:tcBorders>
              <w:top w:val="nil"/>
              <w:left w:val="nil"/>
              <w:bottom w:val="single" w:sz="4" w:space="0" w:color="auto"/>
              <w:right w:val="single" w:sz="4" w:space="0" w:color="auto"/>
            </w:tcBorders>
            <w:vAlign w:val="center"/>
          </w:tcPr>
          <w:p w14:paraId="05189C84"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观测值</w:t>
            </w:r>
          </w:p>
        </w:tc>
        <w:tc>
          <w:tcPr>
            <w:tcW w:w="2127" w:type="dxa"/>
            <w:tcBorders>
              <w:top w:val="nil"/>
              <w:left w:val="single" w:sz="4" w:space="0" w:color="auto"/>
              <w:bottom w:val="single" w:sz="4" w:space="0" w:color="auto"/>
              <w:right w:val="single" w:sz="4" w:space="0" w:color="auto"/>
            </w:tcBorders>
            <w:vAlign w:val="center"/>
          </w:tcPr>
          <w:p w14:paraId="1C39397D"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121</w:t>
            </w:r>
          </w:p>
        </w:tc>
        <w:tc>
          <w:tcPr>
            <w:tcW w:w="2268" w:type="dxa"/>
            <w:tcBorders>
              <w:top w:val="nil"/>
              <w:left w:val="single" w:sz="4" w:space="0" w:color="auto"/>
              <w:bottom w:val="single" w:sz="4" w:space="0" w:color="auto"/>
              <w:right w:val="single" w:sz="4" w:space="0" w:color="auto"/>
            </w:tcBorders>
            <w:vAlign w:val="center"/>
          </w:tcPr>
          <w:p w14:paraId="5A5F3977"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121</w:t>
            </w:r>
          </w:p>
        </w:tc>
        <w:tc>
          <w:tcPr>
            <w:tcW w:w="2268" w:type="dxa"/>
            <w:tcBorders>
              <w:top w:val="nil"/>
              <w:left w:val="single" w:sz="4" w:space="0" w:color="auto"/>
              <w:bottom w:val="single" w:sz="4" w:space="0" w:color="auto"/>
              <w:right w:val="nil"/>
            </w:tcBorders>
            <w:vAlign w:val="center"/>
          </w:tcPr>
          <w:p w14:paraId="122C67E5" w14:textId="77777777" w:rsidR="005F07D1" w:rsidRPr="00C65393" w:rsidRDefault="00000000" w:rsidP="00690CF5">
            <w:pPr>
              <w:ind w:firstLineChars="0" w:firstLine="0"/>
              <w:jc w:val="center"/>
              <w:rPr>
                <w:rFonts w:ascii="仿宋" w:eastAsia="仿宋" w:hAnsi="仿宋"/>
                <w:sz w:val="21"/>
                <w:szCs w:val="21"/>
              </w:rPr>
            </w:pPr>
            <w:r w:rsidRPr="00C65393">
              <w:rPr>
                <w:rFonts w:ascii="仿宋" w:eastAsia="仿宋" w:hAnsi="仿宋" w:hint="eastAsia"/>
                <w:sz w:val="21"/>
                <w:szCs w:val="21"/>
              </w:rPr>
              <w:t>121</w:t>
            </w:r>
          </w:p>
        </w:tc>
      </w:tr>
    </w:tbl>
    <w:p w14:paraId="5C05816E" w14:textId="77777777" w:rsidR="005F07D1" w:rsidRDefault="00000000" w:rsidP="0045411C">
      <w:r>
        <w:rPr>
          <w:rFonts w:hint="eastAsia"/>
        </w:rPr>
        <w:t>由上表可知，在增加了产业结构这一控制变量后，绿色金融回归系数仍然在</w:t>
      </w:r>
      <w:r>
        <w:rPr>
          <w:rFonts w:hint="eastAsia"/>
        </w:rPr>
        <w:t>1%</w:t>
      </w:r>
      <w:r>
        <w:rPr>
          <w:rFonts w:hint="eastAsia"/>
        </w:rPr>
        <w:t>的水平上负向显著，表明研究结论具有稳健性，绿色金融对能源消费结构优化</w:t>
      </w:r>
      <w:r>
        <w:rPr>
          <w:rFonts w:hint="eastAsia"/>
        </w:rPr>
        <w:lastRenderedPageBreak/>
        <w:t>与转型的影响，存在技术创新带来的部分中介效应的结论是稳健的。</w:t>
      </w:r>
    </w:p>
    <w:p w14:paraId="59EB3FDA" w14:textId="01B7DE4C" w:rsidR="00AE3FBC" w:rsidRDefault="00000000" w:rsidP="00A32AEA">
      <w:pPr>
        <w:pStyle w:val="a8"/>
        <w:numPr>
          <w:ilvl w:val="0"/>
          <w:numId w:val="5"/>
        </w:numPr>
        <w:ind w:firstLineChars="0"/>
        <w:rPr>
          <w:rFonts w:hint="eastAsia"/>
        </w:rPr>
      </w:pPr>
      <w:r>
        <w:rPr>
          <w:rFonts w:hint="eastAsia"/>
        </w:rPr>
        <w:t>解释变量替换</w:t>
      </w:r>
      <w:r>
        <w:t>。前文已经对绿色金融对能源</w:t>
      </w:r>
      <w:r>
        <w:rPr>
          <w:rFonts w:hint="eastAsia"/>
        </w:rPr>
        <w:t>消费</w:t>
      </w:r>
      <w:r>
        <w:t>结构优化与转型的综合效应，然而当前我国的绿色金融产品品种多样。因此，本文选择其中较有代表性的绿色信贷</w:t>
      </w:r>
      <w:r>
        <w:rPr>
          <w:rFonts w:hint="eastAsia"/>
        </w:rPr>
        <w:t>（</w:t>
      </w:r>
      <w:r>
        <w:rPr>
          <w:rFonts w:hint="eastAsia"/>
        </w:rPr>
        <w:t>Gc</w:t>
      </w:r>
      <w:r>
        <w:rPr>
          <w:rFonts w:hint="eastAsia"/>
        </w:rPr>
        <w:t>）这一</w:t>
      </w:r>
      <w:r>
        <w:t>变量，来检验其对能源</w:t>
      </w:r>
      <w:r>
        <w:rPr>
          <w:rFonts w:hint="eastAsia"/>
        </w:rPr>
        <w:t>消费</w:t>
      </w:r>
      <w:r>
        <w:t>结构的影响</w:t>
      </w:r>
      <w:r>
        <w:rPr>
          <w:rFonts w:hint="eastAsia"/>
        </w:rPr>
        <w:t>。结果如下表所示。</w:t>
      </w:r>
    </w:p>
    <w:p w14:paraId="4C8D25E6" w14:textId="69EBF159"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表</w:t>
      </w:r>
      <w:r w:rsidR="00AE3FBC">
        <w:rPr>
          <w:rFonts w:ascii="仿宋" w:eastAsia="仿宋" w:hAnsi="仿宋" w:hint="eastAsia"/>
          <w:sz w:val="21"/>
          <w:szCs w:val="21"/>
        </w:rPr>
        <w:t>6</w:t>
      </w:r>
      <w:r w:rsidRPr="00690CF5">
        <w:rPr>
          <w:rFonts w:ascii="仿宋" w:eastAsia="仿宋" w:hAnsi="仿宋" w:hint="eastAsia"/>
          <w:sz w:val="21"/>
          <w:szCs w:val="21"/>
        </w:rPr>
        <w:t xml:space="preserve"> 替换解释变量后的稳健性检验</w:t>
      </w:r>
    </w:p>
    <w:tbl>
      <w:tblPr>
        <w:tblW w:w="8505" w:type="dxa"/>
        <w:jc w:val="center"/>
        <w:tblLayout w:type="fixed"/>
        <w:tblLook w:val="04A0" w:firstRow="1" w:lastRow="0" w:firstColumn="1" w:lastColumn="0" w:noHBand="0" w:noVBand="1"/>
      </w:tblPr>
      <w:tblGrid>
        <w:gridCol w:w="1843"/>
        <w:gridCol w:w="2126"/>
        <w:gridCol w:w="2127"/>
        <w:gridCol w:w="2409"/>
      </w:tblGrid>
      <w:tr w:rsidR="00690CF5" w:rsidRPr="00690CF5" w14:paraId="0BC02789" w14:textId="77777777" w:rsidTr="00085670">
        <w:trPr>
          <w:jc w:val="center"/>
        </w:trPr>
        <w:tc>
          <w:tcPr>
            <w:tcW w:w="1843" w:type="dxa"/>
            <w:vMerge w:val="restart"/>
            <w:tcBorders>
              <w:top w:val="single" w:sz="6" w:space="0" w:color="auto"/>
              <w:left w:val="nil"/>
              <w:right w:val="single" w:sz="4" w:space="0" w:color="auto"/>
            </w:tcBorders>
            <w:vAlign w:val="center"/>
          </w:tcPr>
          <w:p w14:paraId="5DF3B5E1" w14:textId="5C808893"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hint="eastAsia"/>
                <w:sz w:val="21"/>
                <w:szCs w:val="21"/>
              </w:rPr>
              <w:t>变量名</w:t>
            </w:r>
          </w:p>
        </w:tc>
        <w:tc>
          <w:tcPr>
            <w:tcW w:w="2126" w:type="dxa"/>
            <w:tcBorders>
              <w:top w:val="single" w:sz="6" w:space="0" w:color="auto"/>
              <w:left w:val="single" w:sz="4" w:space="0" w:color="auto"/>
              <w:bottom w:val="single" w:sz="4" w:space="0" w:color="auto"/>
              <w:right w:val="single" w:sz="4" w:space="0" w:color="auto"/>
            </w:tcBorders>
            <w:vAlign w:val="center"/>
          </w:tcPr>
          <w:p w14:paraId="699563F5"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(1)</w:t>
            </w:r>
            <w:r w:rsidRPr="00690CF5">
              <w:rPr>
                <w:rFonts w:ascii="仿宋" w:eastAsia="仿宋" w:hAnsi="仿宋" w:hint="eastAsia"/>
                <w:sz w:val="21"/>
                <w:szCs w:val="21"/>
              </w:rPr>
              <w:t>总路径</w:t>
            </w:r>
          </w:p>
        </w:tc>
        <w:tc>
          <w:tcPr>
            <w:tcW w:w="2127" w:type="dxa"/>
            <w:tcBorders>
              <w:top w:val="single" w:sz="6" w:space="0" w:color="auto"/>
              <w:left w:val="single" w:sz="4" w:space="0" w:color="auto"/>
              <w:bottom w:val="single" w:sz="4" w:space="0" w:color="auto"/>
              <w:right w:val="single" w:sz="4" w:space="0" w:color="auto"/>
            </w:tcBorders>
            <w:vAlign w:val="center"/>
          </w:tcPr>
          <w:p w14:paraId="2328AB70"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(2)</w:t>
            </w:r>
            <w:r w:rsidRPr="00690CF5">
              <w:rPr>
                <w:rFonts w:ascii="仿宋" w:eastAsia="仿宋" w:hAnsi="仿宋" w:hint="eastAsia"/>
                <w:sz w:val="21"/>
                <w:szCs w:val="21"/>
              </w:rPr>
              <w:t>间接路径</w:t>
            </w:r>
          </w:p>
        </w:tc>
        <w:tc>
          <w:tcPr>
            <w:tcW w:w="2409" w:type="dxa"/>
            <w:tcBorders>
              <w:top w:val="single" w:sz="6" w:space="0" w:color="auto"/>
              <w:left w:val="single" w:sz="4" w:space="0" w:color="auto"/>
              <w:bottom w:val="single" w:sz="4" w:space="0" w:color="auto"/>
              <w:right w:val="nil"/>
            </w:tcBorders>
            <w:vAlign w:val="center"/>
          </w:tcPr>
          <w:p w14:paraId="6A459DB5"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(3)</w:t>
            </w:r>
            <w:r w:rsidRPr="00690CF5">
              <w:rPr>
                <w:rFonts w:ascii="仿宋" w:eastAsia="仿宋" w:hAnsi="仿宋" w:hint="eastAsia"/>
                <w:sz w:val="21"/>
                <w:szCs w:val="21"/>
              </w:rPr>
              <w:t>直接路径</w:t>
            </w:r>
          </w:p>
        </w:tc>
      </w:tr>
      <w:tr w:rsidR="00690CF5" w:rsidRPr="00690CF5" w14:paraId="42AD4EF7" w14:textId="77777777" w:rsidTr="00085670">
        <w:trPr>
          <w:jc w:val="center"/>
        </w:trPr>
        <w:tc>
          <w:tcPr>
            <w:tcW w:w="1843" w:type="dxa"/>
            <w:vMerge/>
            <w:tcBorders>
              <w:left w:val="nil"/>
              <w:bottom w:val="single" w:sz="6" w:space="0" w:color="auto"/>
              <w:right w:val="single" w:sz="4" w:space="0" w:color="auto"/>
            </w:tcBorders>
            <w:vAlign w:val="center"/>
          </w:tcPr>
          <w:p w14:paraId="65B97322" w14:textId="52E95577" w:rsidR="00690CF5" w:rsidRPr="00690CF5" w:rsidRDefault="00690CF5" w:rsidP="00690CF5">
            <w:pPr>
              <w:ind w:firstLineChars="0" w:firstLine="0"/>
              <w:jc w:val="center"/>
              <w:rPr>
                <w:rFonts w:ascii="仿宋" w:eastAsia="仿宋" w:hAnsi="仿宋"/>
                <w:sz w:val="21"/>
                <w:szCs w:val="21"/>
              </w:rPr>
            </w:pPr>
          </w:p>
        </w:tc>
        <w:tc>
          <w:tcPr>
            <w:tcW w:w="2126" w:type="dxa"/>
            <w:tcBorders>
              <w:top w:val="single" w:sz="4" w:space="0" w:color="auto"/>
              <w:left w:val="single" w:sz="4" w:space="0" w:color="auto"/>
              <w:bottom w:val="single" w:sz="6" w:space="0" w:color="auto"/>
              <w:right w:val="single" w:sz="4" w:space="0" w:color="auto"/>
            </w:tcBorders>
            <w:vAlign w:val="center"/>
          </w:tcPr>
          <w:p w14:paraId="30327C89" w14:textId="605ED556" w:rsidR="00690CF5" w:rsidRPr="00690CF5" w:rsidRDefault="00690CF5" w:rsidP="006D2D35">
            <w:pPr>
              <w:ind w:firstLineChars="0" w:firstLine="0"/>
              <w:jc w:val="center"/>
              <w:rPr>
                <w:rFonts w:ascii="仿宋" w:eastAsia="仿宋" w:hAnsi="仿宋"/>
                <w:sz w:val="21"/>
                <w:szCs w:val="21"/>
              </w:rPr>
            </w:pPr>
            <w:r w:rsidRPr="00690CF5">
              <w:rPr>
                <w:rFonts w:ascii="仿宋" w:eastAsia="仿宋" w:hAnsi="仿宋" w:hint="eastAsia"/>
                <w:sz w:val="21"/>
                <w:szCs w:val="21"/>
              </w:rPr>
              <w:t>能源消费结构（E</w:t>
            </w:r>
            <w:r w:rsidRPr="00690CF5">
              <w:rPr>
                <w:rFonts w:ascii="仿宋" w:eastAsia="仿宋" w:hAnsi="仿宋"/>
                <w:sz w:val="21"/>
                <w:szCs w:val="21"/>
              </w:rPr>
              <w:t>S</w:t>
            </w:r>
            <w:r w:rsidRPr="00690CF5">
              <w:rPr>
                <w:rFonts w:ascii="仿宋" w:eastAsia="仿宋" w:hAnsi="仿宋" w:hint="eastAsia"/>
                <w:sz w:val="21"/>
                <w:szCs w:val="21"/>
              </w:rPr>
              <w:t>）</w:t>
            </w:r>
          </w:p>
        </w:tc>
        <w:tc>
          <w:tcPr>
            <w:tcW w:w="2127" w:type="dxa"/>
            <w:tcBorders>
              <w:top w:val="single" w:sz="4" w:space="0" w:color="auto"/>
              <w:left w:val="single" w:sz="4" w:space="0" w:color="auto"/>
              <w:bottom w:val="single" w:sz="6" w:space="0" w:color="auto"/>
              <w:right w:val="single" w:sz="4" w:space="0" w:color="auto"/>
            </w:tcBorders>
            <w:vAlign w:val="center"/>
          </w:tcPr>
          <w:p w14:paraId="0844D49A" w14:textId="3554A68E" w:rsidR="00690CF5" w:rsidRPr="00690CF5" w:rsidRDefault="00690CF5" w:rsidP="006D2D35">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409" w:type="dxa"/>
            <w:tcBorders>
              <w:top w:val="single" w:sz="4" w:space="0" w:color="auto"/>
              <w:left w:val="single" w:sz="4" w:space="0" w:color="auto"/>
              <w:bottom w:val="single" w:sz="6" w:space="0" w:color="auto"/>
              <w:right w:val="nil"/>
            </w:tcBorders>
            <w:vAlign w:val="center"/>
          </w:tcPr>
          <w:p w14:paraId="539CD53C"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能源消费结构（E</w:t>
            </w:r>
            <w:r w:rsidRPr="00690CF5">
              <w:rPr>
                <w:rFonts w:ascii="仿宋" w:eastAsia="仿宋" w:hAnsi="仿宋"/>
                <w:sz w:val="21"/>
                <w:szCs w:val="21"/>
              </w:rPr>
              <w:t>S</w:t>
            </w:r>
            <w:r w:rsidRPr="00690CF5">
              <w:rPr>
                <w:rFonts w:ascii="仿宋" w:eastAsia="仿宋" w:hAnsi="仿宋" w:hint="eastAsia"/>
                <w:sz w:val="21"/>
                <w:szCs w:val="21"/>
              </w:rPr>
              <w:t>）</w:t>
            </w:r>
          </w:p>
        </w:tc>
      </w:tr>
      <w:tr w:rsidR="005F07D1" w:rsidRPr="00690CF5" w14:paraId="7624FA06" w14:textId="77777777" w:rsidTr="00085670">
        <w:trPr>
          <w:jc w:val="center"/>
        </w:trPr>
        <w:tc>
          <w:tcPr>
            <w:tcW w:w="1843" w:type="dxa"/>
            <w:tcBorders>
              <w:top w:val="nil"/>
              <w:left w:val="nil"/>
              <w:bottom w:val="nil"/>
              <w:right w:val="single" w:sz="4" w:space="0" w:color="auto"/>
            </w:tcBorders>
            <w:vAlign w:val="center"/>
          </w:tcPr>
          <w:p w14:paraId="0DBB305A"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绿色信贷（Gc）</w:t>
            </w:r>
          </w:p>
        </w:tc>
        <w:tc>
          <w:tcPr>
            <w:tcW w:w="2126" w:type="dxa"/>
            <w:tcBorders>
              <w:top w:val="nil"/>
              <w:left w:val="single" w:sz="4" w:space="0" w:color="auto"/>
              <w:bottom w:val="nil"/>
              <w:right w:val="single" w:sz="4" w:space="0" w:color="auto"/>
            </w:tcBorders>
            <w:vAlign w:val="center"/>
          </w:tcPr>
          <w:p w14:paraId="613A9F45"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267</w:t>
            </w:r>
            <w:r w:rsidRPr="00690CF5">
              <w:rPr>
                <w:rFonts w:ascii="仿宋" w:eastAsia="仿宋" w:hAnsi="仿宋"/>
                <w:sz w:val="21"/>
                <w:szCs w:val="21"/>
              </w:rPr>
              <w:t>***</w:t>
            </w:r>
          </w:p>
        </w:tc>
        <w:tc>
          <w:tcPr>
            <w:tcW w:w="2127" w:type="dxa"/>
            <w:tcBorders>
              <w:top w:val="nil"/>
              <w:left w:val="single" w:sz="4" w:space="0" w:color="auto"/>
              <w:bottom w:val="nil"/>
              <w:right w:val="single" w:sz="4" w:space="0" w:color="auto"/>
            </w:tcBorders>
            <w:vAlign w:val="center"/>
          </w:tcPr>
          <w:p w14:paraId="20FD0B36"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2.292</w:t>
            </w:r>
            <w:r w:rsidRPr="00690CF5">
              <w:rPr>
                <w:rFonts w:ascii="仿宋" w:eastAsia="仿宋" w:hAnsi="仿宋"/>
                <w:sz w:val="21"/>
                <w:szCs w:val="21"/>
              </w:rPr>
              <w:t>**</w:t>
            </w:r>
            <w:r w:rsidRPr="00690CF5">
              <w:rPr>
                <w:rFonts w:ascii="仿宋" w:eastAsia="仿宋" w:hAnsi="仿宋" w:hint="eastAsia"/>
                <w:sz w:val="21"/>
                <w:szCs w:val="21"/>
              </w:rPr>
              <w:t>*</w:t>
            </w:r>
          </w:p>
        </w:tc>
        <w:tc>
          <w:tcPr>
            <w:tcW w:w="2409" w:type="dxa"/>
            <w:tcBorders>
              <w:top w:val="nil"/>
              <w:left w:val="single" w:sz="4" w:space="0" w:color="auto"/>
              <w:bottom w:val="nil"/>
              <w:right w:val="nil"/>
            </w:tcBorders>
            <w:vAlign w:val="center"/>
          </w:tcPr>
          <w:p w14:paraId="26A3D4BC"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226</w:t>
            </w:r>
            <w:r w:rsidRPr="00690CF5">
              <w:rPr>
                <w:rFonts w:ascii="仿宋" w:eastAsia="仿宋" w:hAnsi="仿宋"/>
                <w:sz w:val="21"/>
                <w:szCs w:val="21"/>
              </w:rPr>
              <w:t>**</w:t>
            </w:r>
            <w:r w:rsidRPr="00690CF5">
              <w:rPr>
                <w:rFonts w:ascii="仿宋" w:eastAsia="仿宋" w:hAnsi="仿宋" w:hint="eastAsia"/>
                <w:sz w:val="21"/>
                <w:szCs w:val="21"/>
              </w:rPr>
              <w:t>*</w:t>
            </w:r>
          </w:p>
        </w:tc>
      </w:tr>
      <w:tr w:rsidR="005F07D1" w:rsidRPr="00690CF5" w14:paraId="6D4C2AB9" w14:textId="77777777" w:rsidTr="00085670">
        <w:trPr>
          <w:jc w:val="center"/>
        </w:trPr>
        <w:tc>
          <w:tcPr>
            <w:tcW w:w="1843" w:type="dxa"/>
            <w:tcBorders>
              <w:top w:val="nil"/>
              <w:left w:val="nil"/>
              <w:bottom w:val="nil"/>
              <w:right w:val="single" w:sz="4" w:space="0" w:color="auto"/>
            </w:tcBorders>
            <w:vAlign w:val="center"/>
          </w:tcPr>
          <w:p w14:paraId="0398AE32" w14:textId="77777777" w:rsidR="005F07D1" w:rsidRPr="00690CF5" w:rsidRDefault="005F07D1" w:rsidP="00690CF5">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135F6AF1"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060</w:t>
            </w:r>
            <w:r w:rsidRPr="00690CF5">
              <w:rPr>
                <w:rFonts w:ascii="仿宋" w:eastAsia="仿宋" w:hAnsi="仿宋"/>
                <w:sz w:val="21"/>
                <w:szCs w:val="21"/>
              </w:rPr>
              <w:t>)</w:t>
            </w:r>
          </w:p>
        </w:tc>
        <w:tc>
          <w:tcPr>
            <w:tcW w:w="2127" w:type="dxa"/>
            <w:tcBorders>
              <w:top w:val="nil"/>
              <w:left w:val="single" w:sz="4" w:space="0" w:color="auto"/>
              <w:bottom w:val="nil"/>
              <w:right w:val="single" w:sz="4" w:space="0" w:color="auto"/>
            </w:tcBorders>
            <w:vAlign w:val="center"/>
          </w:tcPr>
          <w:p w14:paraId="4E964A8F"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w:t>
            </w:r>
            <w:r w:rsidRPr="00690CF5">
              <w:rPr>
                <w:rFonts w:ascii="仿宋" w:eastAsia="仿宋" w:hAnsi="仿宋" w:hint="eastAsia"/>
                <w:sz w:val="21"/>
                <w:szCs w:val="21"/>
              </w:rPr>
              <w:t>0.783</w:t>
            </w:r>
            <w:r w:rsidRPr="00690CF5">
              <w:rPr>
                <w:rFonts w:ascii="仿宋" w:eastAsia="仿宋" w:hAnsi="仿宋"/>
                <w:sz w:val="21"/>
                <w:szCs w:val="21"/>
              </w:rPr>
              <w:t>)</w:t>
            </w:r>
          </w:p>
        </w:tc>
        <w:tc>
          <w:tcPr>
            <w:tcW w:w="2409" w:type="dxa"/>
            <w:tcBorders>
              <w:top w:val="nil"/>
              <w:left w:val="single" w:sz="4" w:space="0" w:color="auto"/>
              <w:bottom w:val="nil"/>
              <w:right w:val="nil"/>
            </w:tcBorders>
            <w:vAlign w:val="center"/>
          </w:tcPr>
          <w:p w14:paraId="76B733D3"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061</w:t>
            </w:r>
            <w:r w:rsidRPr="00690CF5">
              <w:rPr>
                <w:rFonts w:ascii="仿宋" w:eastAsia="仿宋" w:hAnsi="仿宋"/>
                <w:sz w:val="21"/>
                <w:szCs w:val="21"/>
              </w:rPr>
              <w:t>)</w:t>
            </w:r>
          </w:p>
        </w:tc>
      </w:tr>
      <w:tr w:rsidR="005F07D1" w:rsidRPr="00690CF5" w14:paraId="33C521E0" w14:textId="77777777" w:rsidTr="00085670">
        <w:trPr>
          <w:jc w:val="center"/>
        </w:trPr>
        <w:tc>
          <w:tcPr>
            <w:tcW w:w="1843" w:type="dxa"/>
            <w:tcBorders>
              <w:top w:val="nil"/>
              <w:left w:val="nil"/>
              <w:bottom w:val="nil"/>
              <w:right w:val="single" w:sz="4" w:space="0" w:color="auto"/>
            </w:tcBorders>
            <w:vAlign w:val="center"/>
          </w:tcPr>
          <w:p w14:paraId="1E0FEBD4"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126" w:type="dxa"/>
            <w:tcBorders>
              <w:top w:val="nil"/>
              <w:left w:val="single" w:sz="4" w:space="0" w:color="auto"/>
              <w:bottom w:val="nil"/>
              <w:right w:val="single" w:sz="4" w:space="0" w:color="auto"/>
            </w:tcBorders>
            <w:vAlign w:val="center"/>
          </w:tcPr>
          <w:p w14:paraId="63D6D7CA" w14:textId="77777777" w:rsidR="005F07D1" w:rsidRPr="00690CF5"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44214DEE" w14:textId="77777777" w:rsidR="005F07D1" w:rsidRPr="00690CF5" w:rsidRDefault="005F07D1" w:rsidP="00690CF5">
            <w:pPr>
              <w:ind w:firstLineChars="0" w:firstLine="0"/>
              <w:jc w:val="center"/>
              <w:rPr>
                <w:rFonts w:ascii="仿宋" w:eastAsia="仿宋" w:hAnsi="仿宋"/>
                <w:sz w:val="21"/>
                <w:szCs w:val="21"/>
              </w:rPr>
            </w:pPr>
          </w:p>
        </w:tc>
        <w:tc>
          <w:tcPr>
            <w:tcW w:w="2409" w:type="dxa"/>
            <w:tcBorders>
              <w:top w:val="nil"/>
              <w:left w:val="single" w:sz="4" w:space="0" w:color="auto"/>
              <w:bottom w:val="nil"/>
              <w:right w:val="nil"/>
            </w:tcBorders>
            <w:vAlign w:val="center"/>
          </w:tcPr>
          <w:p w14:paraId="4CB76C5E"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-0.018</w:t>
            </w:r>
            <w:r w:rsidRPr="00690CF5">
              <w:rPr>
                <w:rFonts w:ascii="仿宋" w:eastAsia="仿宋" w:hAnsi="仿宋"/>
                <w:sz w:val="21"/>
                <w:szCs w:val="21"/>
              </w:rPr>
              <w:t>**</w:t>
            </w:r>
          </w:p>
        </w:tc>
      </w:tr>
      <w:tr w:rsidR="005F07D1" w:rsidRPr="00690CF5" w14:paraId="0C3C31DC" w14:textId="77777777" w:rsidTr="00085670">
        <w:trPr>
          <w:jc w:val="center"/>
        </w:trPr>
        <w:tc>
          <w:tcPr>
            <w:tcW w:w="1843" w:type="dxa"/>
            <w:tcBorders>
              <w:top w:val="nil"/>
              <w:left w:val="nil"/>
              <w:bottom w:val="nil"/>
              <w:right w:val="single" w:sz="4" w:space="0" w:color="auto"/>
            </w:tcBorders>
            <w:vAlign w:val="center"/>
          </w:tcPr>
          <w:p w14:paraId="2CB14C0B" w14:textId="77777777" w:rsidR="005F07D1" w:rsidRPr="00690CF5" w:rsidRDefault="005F07D1" w:rsidP="00690CF5">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28BF0848" w14:textId="77777777" w:rsidR="005F07D1" w:rsidRPr="00690CF5"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43AD742B" w14:textId="77777777" w:rsidR="005F07D1" w:rsidRPr="00690CF5" w:rsidRDefault="005F07D1" w:rsidP="00690CF5">
            <w:pPr>
              <w:ind w:firstLineChars="0" w:firstLine="0"/>
              <w:jc w:val="center"/>
              <w:rPr>
                <w:rFonts w:ascii="仿宋" w:eastAsia="仿宋" w:hAnsi="仿宋"/>
                <w:sz w:val="21"/>
                <w:szCs w:val="21"/>
              </w:rPr>
            </w:pPr>
          </w:p>
        </w:tc>
        <w:tc>
          <w:tcPr>
            <w:tcW w:w="2409" w:type="dxa"/>
            <w:tcBorders>
              <w:top w:val="nil"/>
              <w:left w:val="single" w:sz="4" w:space="0" w:color="auto"/>
              <w:bottom w:val="nil"/>
              <w:right w:val="nil"/>
            </w:tcBorders>
            <w:vAlign w:val="center"/>
          </w:tcPr>
          <w:p w14:paraId="704E706E"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(0.0</w:t>
            </w:r>
            <w:r w:rsidRPr="00690CF5">
              <w:rPr>
                <w:rFonts w:ascii="仿宋" w:eastAsia="仿宋" w:hAnsi="仿宋" w:hint="eastAsia"/>
                <w:sz w:val="21"/>
                <w:szCs w:val="21"/>
              </w:rPr>
              <w:t>08</w:t>
            </w:r>
            <w:r w:rsidRPr="00690CF5">
              <w:rPr>
                <w:rFonts w:ascii="仿宋" w:eastAsia="仿宋" w:hAnsi="仿宋"/>
                <w:sz w:val="21"/>
                <w:szCs w:val="21"/>
              </w:rPr>
              <w:t>)</w:t>
            </w:r>
          </w:p>
        </w:tc>
      </w:tr>
      <w:tr w:rsidR="005F07D1" w:rsidRPr="00690CF5" w14:paraId="719537ED" w14:textId="77777777" w:rsidTr="00085670">
        <w:trPr>
          <w:jc w:val="center"/>
        </w:trPr>
        <w:tc>
          <w:tcPr>
            <w:tcW w:w="1843" w:type="dxa"/>
            <w:tcBorders>
              <w:top w:val="nil"/>
              <w:left w:val="nil"/>
              <w:bottom w:val="nil"/>
              <w:right w:val="single" w:sz="4" w:space="0" w:color="auto"/>
            </w:tcBorders>
            <w:vAlign w:val="center"/>
          </w:tcPr>
          <w:p w14:paraId="7C518F2C"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控制变量</w:t>
            </w:r>
          </w:p>
        </w:tc>
        <w:tc>
          <w:tcPr>
            <w:tcW w:w="2126" w:type="dxa"/>
            <w:tcBorders>
              <w:top w:val="nil"/>
              <w:left w:val="single" w:sz="4" w:space="0" w:color="auto"/>
              <w:bottom w:val="nil"/>
              <w:right w:val="single" w:sz="4" w:space="0" w:color="auto"/>
            </w:tcBorders>
            <w:vAlign w:val="center"/>
          </w:tcPr>
          <w:p w14:paraId="5FEE8B69"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127" w:type="dxa"/>
            <w:tcBorders>
              <w:top w:val="nil"/>
              <w:left w:val="single" w:sz="4" w:space="0" w:color="auto"/>
              <w:bottom w:val="nil"/>
              <w:right w:val="single" w:sz="4" w:space="0" w:color="auto"/>
            </w:tcBorders>
            <w:vAlign w:val="center"/>
          </w:tcPr>
          <w:p w14:paraId="5D6721DF"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409" w:type="dxa"/>
            <w:tcBorders>
              <w:top w:val="nil"/>
              <w:left w:val="single" w:sz="4" w:space="0" w:color="auto"/>
              <w:bottom w:val="nil"/>
              <w:right w:val="nil"/>
            </w:tcBorders>
            <w:vAlign w:val="center"/>
          </w:tcPr>
          <w:p w14:paraId="588B42F9"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r>
      <w:tr w:rsidR="005F07D1" w:rsidRPr="00690CF5" w14:paraId="1B66D8EE" w14:textId="77777777" w:rsidTr="00085670">
        <w:trPr>
          <w:jc w:val="center"/>
        </w:trPr>
        <w:tc>
          <w:tcPr>
            <w:tcW w:w="1843" w:type="dxa"/>
            <w:tcBorders>
              <w:top w:val="nil"/>
              <w:left w:val="nil"/>
              <w:bottom w:val="nil"/>
              <w:right w:val="single" w:sz="4" w:space="0" w:color="auto"/>
            </w:tcBorders>
            <w:vAlign w:val="center"/>
          </w:tcPr>
          <w:p w14:paraId="048F6767"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地区固定</w:t>
            </w:r>
          </w:p>
        </w:tc>
        <w:tc>
          <w:tcPr>
            <w:tcW w:w="2126" w:type="dxa"/>
            <w:tcBorders>
              <w:top w:val="nil"/>
              <w:left w:val="single" w:sz="4" w:space="0" w:color="auto"/>
              <w:bottom w:val="nil"/>
              <w:right w:val="single" w:sz="4" w:space="0" w:color="auto"/>
            </w:tcBorders>
            <w:vAlign w:val="center"/>
          </w:tcPr>
          <w:p w14:paraId="0C7E87E7"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6D306635"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409" w:type="dxa"/>
            <w:tcBorders>
              <w:top w:val="nil"/>
              <w:left w:val="single" w:sz="4" w:space="0" w:color="auto"/>
              <w:bottom w:val="nil"/>
              <w:right w:val="nil"/>
            </w:tcBorders>
            <w:vAlign w:val="center"/>
          </w:tcPr>
          <w:p w14:paraId="74CDEF6B"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52F783E4" w14:textId="77777777" w:rsidTr="00085670">
        <w:trPr>
          <w:jc w:val="center"/>
        </w:trPr>
        <w:tc>
          <w:tcPr>
            <w:tcW w:w="1843" w:type="dxa"/>
            <w:tcBorders>
              <w:top w:val="nil"/>
              <w:left w:val="nil"/>
              <w:bottom w:val="nil"/>
              <w:right w:val="single" w:sz="4" w:space="0" w:color="auto"/>
            </w:tcBorders>
            <w:vAlign w:val="center"/>
          </w:tcPr>
          <w:p w14:paraId="539CDC14"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时间固定</w:t>
            </w:r>
          </w:p>
        </w:tc>
        <w:tc>
          <w:tcPr>
            <w:tcW w:w="2126" w:type="dxa"/>
            <w:tcBorders>
              <w:top w:val="nil"/>
              <w:left w:val="single" w:sz="4" w:space="0" w:color="auto"/>
              <w:bottom w:val="nil"/>
              <w:right w:val="single" w:sz="4" w:space="0" w:color="auto"/>
            </w:tcBorders>
            <w:vAlign w:val="center"/>
          </w:tcPr>
          <w:p w14:paraId="43B3DF41"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6688A158"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409" w:type="dxa"/>
            <w:tcBorders>
              <w:top w:val="nil"/>
              <w:left w:val="single" w:sz="4" w:space="0" w:color="auto"/>
              <w:bottom w:val="nil"/>
              <w:right w:val="nil"/>
            </w:tcBorders>
            <w:vAlign w:val="center"/>
          </w:tcPr>
          <w:p w14:paraId="22A299EB"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20B733BD" w14:textId="77777777" w:rsidTr="00085670">
        <w:trPr>
          <w:jc w:val="center"/>
        </w:trPr>
        <w:tc>
          <w:tcPr>
            <w:tcW w:w="1843" w:type="dxa"/>
            <w:tcBorders>
              <w:top w:val="nil"/>
              <w:left w:val="nil"/>
              <w:bottom w:val="single" w:sz="4" w:space="0" w:color="auto"/>
              <w:right w:val="single" w:sz="4" w:space="0" w:color="auto"/>
            </w:tcBorders>
            <w:vAlign w:val="center"/>
          </w:tcPr>
          <w:p w14:paraId="7C8BB284"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观测值</w:t>
            </w:r>
          </w:p>
        </w:tc>
        <w:tc>
          <w:tcPr>
            <w:tcW w:w="2126" w:type="dxa"/>
            <w:tcBorders>
              <w:top w:val="nil"/>
              <w:left w:val="single" w:sz="4" w:space="0" w:color="auto"/>
              <w:bottom w:val="single" w:sz="4" w:space="0" w:color="auto"/>
              <w:right w:val="single" w:sz="4" w:space="0" w:color="auto"/>
            </w:tcBorders>
            <w:vAlign w:val="center"/>
          </w:tcPr>
          <w:p w14:paraId="164C795A"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c>
          <w:tcPr>
            <w:tcW w:w="2127" w:type="dxa"/>
            <w:tcBorders>
              <w:top w:val="nil"/>
              <w:left w:val="single" w:sz="4" w:space="0" w:color="auto"/>
              <w:bottom w:val="single" w:sz="4" w:space="0" w:color="auto"/>
              <w:right w:val="single" w:sz="4" w:space="0" w:color="auto"/>
            </w:tcBorders>
            <w:vAlign w:val="center"/>
          </w:tcPr>
          <w:p w14:paraId="0ED82DDE"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c>
          <w:tcPr>
            <w:tcW w:w="2409" w:type="dxa"/>
            <w:tcBorders>
              <w:top w:val="nil"/>
              <w:left w:val="single" w:sz="4" w:space="0" w:color="auto"/>
              <w:bottom w:val="single" w:sz="4" w:space="0" w:color="auto"/>
              <w:right w:val="nil"/>
            </w:tcBorders>
            <w:vAlign w:val="center"/>
          </w:tcPr>
          <w:p w14:paraId="16644BA8"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r>
    </w:tbl>
    <w:p w14:paraId="2F48ACFB" w14:textId="77777777" w:rsidR="005F07D1" w:rsidRDefault="00000000" w:rsidP="0045411C">
      <w:r>
        <w:rPr>
          <w:rFonts w:hint="eastAsia"/>
        </w:rPr>
        <w:t>在将绿色金融这一解释变量替换为绿色信贷后可得，绿色金融回归系数仍然在</w:t>
      </w:r>
      <w:r>
        <w:rPr>
          <w:rFonts w:hint="eastAsia"/>
        </w:rPr>
        <w:t>1%</w:t>
      </w:r>
      <w:r>
        <w:rPr>
          <w:rFonts w:hint="eastAsia"/>
        </w:rPr>
        <w:t>的水平上负向显著，表明假说</w:t>
      </w:r>
      <w:r>
        <w:rPr>
          <w:rFonts w:hint="eastAsia"/>
        </w:rPr>
        <w:t>1</w:t>
      </w:r>
      <w:r>
        <w:rPr>
          <w:rFonts w:hint="eastAsia"/>
        </w:rPr>
        <w:t>和假说</w:t>
      </w:r>
      <w:r>
        <w:rPr>
          <w:rFonts w:hint="eastAsia"/>
        </w:rPr>
        <w:t>2</w:t>
      </w:r>
      <w:r>
        <w:rPr>
          <w:rFonts w:hint="eastAsia"/>
        </w:rPr>
        <w:t>成立，并且结论具有可靠性。</w:t>
      </w:r>
    </w:p>
    <w:p w14:paraId="1220F26D" w14:textId="77777777" w:rsidR="005F07D1" w:rsidRDefault="00000000" w:rsidP="0045411C">
      <w:pPr>
        <w:pStyle w:val="a8"/>
        <w:numPr>
          <w:ilvl w:val="0"/>
          <w:numId w:val="5"/>
        </w:numPr>
        <w:ind w:firstLineChars="0"/>
      </w:pPr>
      <w:r>
        <w:rPr>
          <w:rFonts w:hint="eastAsia"/>
        </w:rPr>
        <w:t>删除样本。由于长江经济带中直辖市的经济发展水平往往相比一般省份较好，从而会影响整体效应的观测值以及相应的检验。因此，本文删除了上海市以及重庆市的样本，再次进行实证检验。结果如表</w:t>
      </w:r>
      <w:r>
        <w:rPr>
          <w:rFonts w:hint="eastAsia"/>
        </w:rPr>
        <w:t xml:space="preserve"> </w:t>
      </w:r>
      <w:r>
        <w:rPr>
          <w:rFonts w:hint="eastAsia"/>
        </w:rPr>
        <w:t>所示。</w:t>
      </w:r>
    </w:p>
    <w:p w14:paraId="1500FFE4" w14:textId="68C980C5"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表</w:t>
      </w:r>
      <w:r w:rsidR="00AE3FBC">
        <w:rPr>
          <w:rFonts w:ascii="仿宋" w:eastAsia="仿宋" w:hAnsi="仿宋" w:hint="eastAsia"/>
          <w:sz w:val="21"/>
          <w:szCs w:val="21"/>
        </w:rPr>
        <w:t>7</w:t>
      </w:r>
      <w:r w:rsidRPr="00690CF5">
        <w:rPr>
          <w:rFonts w:ascii="仿宋" w:eastAsia="仿宋" w:hAnsi="仿宋" w:hint="eastAsia"/>
          <w:sz w:val="21"/>
          <w:szCs w:val="21"/>
        </w:rPr>
        <w:t xml:space="preserve"> 删除样本后的稳健性检验</w:t>
      </w:r>
    </w:p>
    <w:tbl>
      <w:tblPr>
        <w:tblW w:w="8363" w:type="dxa"/>
        <w:jc w:val="center"/>
        <w:tblLayout w:type="fixed"/>
        <w:tblLook w:val="04A0" w:firstRow="1" w:lastRow="0" w:firstColumn="1" w:lastColumn="0" w:noHBand="0" w:noVBand="1"/>
      </w:tblPr>
      <w:tblGrid>
        <w:gridCol w:w="1843"/>
        <w:gridCol w:w="2126"/>
        <w:gridCol w:w="2127"/>
        <w:gridCol w:w="2267"/>
      </w:tblGrid>
      <w:tr w:rsidR="00690CF5" w:rsidRPr="00690CF5" w14:paraId="67F7A2BE" w14:textId="77777777" w:rsidTr="009157A3">
        <w:trPr>
          <w:jc w:val="center"/>
        </w:trPr>
        <w:tc>
          <w:tcPr>
            <w:tcW w:w="1843" w:type="dxa"/>
            <w:vMerge w:val="restart"/>
            <w:tcBorders>
              <w:top w:val="single" w:sz="6" w:space="0" w:color="auto"/>
              <w:left w:val="nil"/>
              <w:right w:val="single" w:sz="4" w:space="0" w:color="auto"/>
            </w:tcBorders>
            <w:vAlign w:val="center"/>
          </w:tcPr>
          <w:p w14:paraId="62657B75" w14:textId="12B861D1"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hint="eastAsia"/>
                <w:sz w:val="21"/>
                <w:szCs w:val="21"/>
              </w:rPr>
              <w:t>变量名</w:t>
            </w:r>
          </w:p>
        </w:tc>
        <w:tc>
          <w:tcPr>
            <w:tcW w:w="2126" w:type="dxa"/>
            <w:tcBorders>
              <w:top w:val="single" w:sz="6" w:space="0" w:color="auto"/>
              <w:left w:val="single" w:sz="4" w:space="0" w:color="auto"/>
              <w:bottom w:val="single" w:sz="4" w:space="0" w:color="auto"/>
              <w:right w:val="single" w:sz="4" w:space="0" w:color="auto"/>
            </w:tcBorders>
            <w:vAlign w:val="center"/>
          </w:tcPr>
          <w:p w14:paraId="6A3E2918"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(1)</w:t>
            </w:r>
            <w:r w:rsidRPr="00690CF5">
              <w:rPr>
                <w:rFonts w:ascii="仿宋" w:eastAsia="仿宋" w:hAnsi="仿宋" w:hint="eastAsia"/>
                <w:sz w:val="21"/>
                <w:szCs w:val="21"/>
              </w:rPr>
              <w:t>总路径</w:t>
            </w:r>
          </w:p>
        </w:tc>
        <w:tc>
          <w:tcPr>
            <w:tcW w:w="2127" w:type="dxa"/>
            <w:tcBorders>
              <w:top w:val="single" w:sz="6" w:space="0" w:color="auto"/>
              <w:left w:val="single" w:sz="4" w:space="0" w:color="auto"/>
              <w:bottom w:val="single" w:sz="4" w:space="0" w:color="auto"/>
              <w:right w:val="single" w:sz="4" w:space="0" w:color="auto"/>
            </w:tcBorders>
            <w:vAlign w:val="center"/>
          </w:tcPr>
          <w:p w14:paraId="6DBB65A4"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(2)</w:t>
            </w:r>
            <w:r w:rsidRPr="00690CF5">
              <w:rPr>
                <w:rFonts w:ascii="仿宋" w:eastAsia="仿宋" w:hAnsi="仿宋" w:hint="eastAsia"/>
                <w:sz w:val="21"/>
                <w:szCs w:val="21"/>
              </w:rPr>
              <w:t>间接路径</w:t>
            </w:r>
          </w:p>
        </w:tc>
        <w:tc>
          <w:tcPr>
            <w:tcW w:w="2267" w:type="dxa"/>
            <w:tcBorders>
              <w:top w:val="single" w:sz="6" w:space="0" w:color="auto"/>
              <w:left w:val="single" w:sz="4" w:space="0" w:color="auto"/>
              <w:bottom w:val="single" w:sz="4" w:space="0" w:color="auto"/>
              <w:right w:val="nil"/>
            </w:tcBorders>
            <w:vAlign w:val="center"/>
          </w:tcPr>
          <w:p w14:paraId="4937424F"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sz w:val="21"/>
                <w:szCs w:val="21"/>
              </w:rPr>
              <w:t>(3)</w:t>
            </w:r>
            <w:r w:rsidRPr="00690CF5">
              <w:rPr>
                <w:rFonts w:ascii="仿宋" w:eastAsia="仿宋" w:hAnsi="仿宋" w:hint="eastAsia"/>
                <w:sz w:val="21"/>
                <w:szCs w:val="21"/>
              </w:rPr>
              <w:t>直接路径</w:t>
            </w:r>
          </w:p>
        </w:tc>
      </w:tr>
      <w:tr w:rsidR="00690CF5" w:rsidRPr="00690CF5" w14:paraId="2F894077" w14:textId="77777777" w:rsidTr="009157A3">
        <w:trPr>
          <w:jc w:val="center"/>
        </w:trPr>
        <w:tc>
          <w:tcPr>
            <w:tcW w:w="1843" w:type="dxa"/>
            <w:vMerge/>
            <w:tcBorders>
              <w:left w:val="nil"/>
              <w:bottom w:val="single" w:sz="6" w:space="0" w:color="auto"/>
              <w:right w:val="single" w:sz="4" w:space="0" w:color="auto"/>
            </w:tcBorders>
            <w:vAlign w:val="center"/>
          </w:tcPr>
          <w:p w14:paraId="222B4F42" w14:textId="6AA68E92" w:rsidR="00690CF5" w:rsidRPr="00690CF5" w:rsidRDefault="00690CF5" w:rsidP="00690CF5">
            <w:pPr>
              <w:ind w:firstLineChars="0" w:firstLine="0"/>
              <w:jc w:val="center"/>
              <w:rPr>
                <w:rFonts w:ascii="仿宋" w:eastAsia="仿宋" w:hAnsi="仿宋"/>
                <w:sz w:val="21"/>
                <w:szCs w:val="21"/>
              </w:rPr>
            </w:pPr>
          </w:p>
        </w:tc>
        <w:tc>
          <w:tcPr>
            <w:tcW w:w="2126" w:type="dxa"/>
            <w:tcBorders>
              <w:top w:val="single" w:sz="4" w:space="0" w:color="auto"/>
              <w:left w:val="single" w:sz="4" w:space="0" w:color="auto"/>
              <w:bottom w:val="single" w:sz="6" w:space="0" w:color="auto"/>
              <w:right w:val="single" w:sz="4" w:space="0" w:color="auto"/>
            </w:tcBorders>
            <w:vAlign w:val="center"/>
          </w:tcPr>
          <w:p w14:paraId="0BFCCB36" w14:textId="76C77677" w:rsidR="00690CF5" w:rsidRPr="00690CF5" w:rsidRDefault="00690CF5" w:rsidP="00AE3FBC">
            <w:pPr>
              <w:ind w:firstLineChars="0" w:firstLine="0"/>
              <w:jc w:val="center"/>
              <w:rPr>
                <w:rFonts w:ascii="仿宋" w:eastAsia="仿宋" w:hAnsi="仿宋"/>
                <w:sz w:val="21"/>
                <w:szCs w:val="21"/>
              </w:rPr>
            </w:pPr>
            <w:r w:rsidRPr="00690CF5">
              <w:rPr>
                <w:rFonts w:ascii="仿宋" w:eastAsia="仿宋" w:hAnsi="仿宋" w:hint="eastAsia"/>
                <w:sz w:val="21"/>
                <w:szCs w:val="21"/>
              </w:rPr>
              <w:t>能源消费结构（E</w:t>
            </w:r>
            <w:r w:rsidRPr="00690CF5">
              <w:rPr>
                <w:rFonts w:ascii="仿宋" w:eastAsia="仿宋" w:hAnsi="仿宋"/>
                <w:sz w:val="21"/>
                <w:szCs w:val="21"/>
              </w:rPr>
              <w:t>S</w:t>
            </w:r>
            <w:r w:rsidRPr="00690CF5">
              <w:rPr>
                <w:rFonts w:ascii="仿宋" w:eastAsia="仿宋" w:hAnsi="仿宋" w:hint="eastAsia"/>
                <w:sz w:val="21"/>
                <w:szCs w:val="21"/>
              </w:rPr>
              <w:t>）</w:t>
            </w:r>
          </w:p>
        </w:tc>
        <w:tc>
          <w:tcPr>
            <w:tcW w:w="2127" w:type="dxa"/>
            <w:tcBorders>
              <w:top w:val="single" w:sz="4" w:space="0" w:color="auto"/>
              <w:left w:val="single" w:sz="4" w:space="0" w:color="auto"/>
              <w:bottom w:val="single" w:sz="6" w:space="0" w:color="auto"/>
              <w:right w:val="single" w:sz="4" w:space="0" w:color="auto"/>
            </w:tcBorders>
            <w:vAlign w:val="center"/>
          </w:tcPr>
          <w:p w14:paraId="0923007F" w14:textId="3290C44C" w:rsidR="00690CF5" w:rsidRPr="00690CF5" w:rsidRDefault="00690CF5" w:rsidP="00AE3FBC">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267" w:type="dxa"/>
            <w:tcBorders>
              <w:top w:val="single" w:sz="4" w:space="0" w:color="auto"/>
              <w:left w:val="single" w:sz="4" w:space="0" w:color="auto"/>
              <w:bottom w:val="single" w:sz="6" w:space="0" w:color="auto"/>
              <w:right w:val="nil"/>
            </w:tcBorders>
            <w:vAlign w:val="center"/>
          </w:tcPr>
          <w:p w14:paraId="1ED6BFD0" w14:textId="77777777" w:rsidR="00690CF5" w:rsidRPr="00690CF5" w:rsidRDefault="00690CF5"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能源消费结构（E</w:t>
            </w:r>
            <w:r w:rsidRPr="00690CF5">
              <w:rPr>
                <w:rFonts w:ascii="仿宋" w:eastAsia="仿宋" w:hAnsi="仿宋"/>
                <w:sz w:val="21"/>
                <w:szCs w:val="21"/>
              </w:rPr>
              <w:t>S</w:t>
            </w:r>
            <w:r w:rsidRPr="00690CF5">
              <w:rPr>
                <w:rFonts w:ascii="仿宋" w:eastAsia="仿宋" w:hAnsi="仿宋" w:hint="eastAsia"/>
                <w:sz w:val="21"/>
                <w:szCs w:val="21"/>
              </w:rPr>
              <w:t>）</w:t>
            </w:r>
          </w:p>
        </w:tc>
      </w:tr>
      <w:tr w:rsidR="005F07D1" w:rsidRPr="00690CF5" w14:paraId="2855F33B" w14:textId="77777777" w:rsidTr="009157A3">
        <w:trPr>
          <w:jc w:val="center"/>
        </w:trPr>
        <w:tc>
          <w:tcPr>
            <w:tcW w:w="1843" w:type="dxa"/>
            <w:tcBorders>
              <w:top w:val="nil"/>
              <w:left w:val="nil"/>
              <w:bottom w:val="nil"/>
              <w:right w:val="single" w:sz="4" w:space="0" w:color="auto"/>
            </w:tcBorders>
            <w:vAlign w:val="center"/>
          </w:tcPr>
          <w:p w14:paraId="3F7AEE05"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绿色金融指数（G</w:t>
            </w:r>
            <w:r w:rsidRPr="00690CF5">
              <w:rPr>
                <w:rFonts w:ascii="仿宋" w:eastAsia="仿宋" w:hAnsi="仿宋"/>
                <w:sz w:val="21"/>
                <w:szCs w:val="21"/>
              </w:rPr>
              <w:t>F</w:t>
            </w:r>
            <w:r w:rsidRPr="00690CF5">
              <w:rPr>
                <w:rFonts w:ascii="仿宋" w:eastAsia="仿宋" w:hAnsi="仿宋" w:hint="eastAsia"/>
                <w:sz w:val="21"/>
                <w:szCs w:val="21"/>
              </w:rPr>
              <w:t>）</w:t>
            </w:r>
          </w:p>
        </w:tc>
        <w:tc>
          <w:tcPr>
            <w:tcW w:w="2126" w:type="dxa"/>
            <w:tcBorders>
              <w:top w:val="nil"/>
              <w:left w:val="single" w:sz="4" w:space="0" w:color="auto"/>
              <w:bottom w:val="nil"/>
              <w:right w:val="single" w:sz="4" w:space="0" w:color="auto"/>
            </w:tcBorders>
            <w:vAlign w:val="center"/>
          </w:tcPr>
          <w:p w14:paraId="6A0A1905"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595</w:t>
            </w:r>
            <w:r w:rsidRPr="00690CF5">
              <w:rPr>
                <w:rFonts w:ascii="仿宋" w:eastAsia="仿宋" w:hAnsi="仿宋"/>
                <w:sz w:val="21"/>
                <w:szCs w:val="21"/>
              </w:rPr>
              <w:t>***</w:t>
            </w:r>
          </w:p>
        </w:tc>
        <w:tc>
          <w:tcPr>
            <w:tcW w:w="2127" w:type="dxa"/>
            <w:tcBorders>
              <w:top w:val="nil"/>
              <w:left w:val="single" w:sz="4" w:space="0" w:color="auto"/>
              <w:bottom w:val="nil"/>
              <w:right w:val="single" w:sz="4" w:space="0" w:color="auto"/>
            </w:tcBorders>
            <w:vAlign w:val="center"/>
          </w:tcPr>
          <w:p w14:paraId="206EC18A"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5.049</w:t>
            </w:r>
            <w:r w:rsidRPr="00690CF5">
              <w:rPr>
                <w:rFonts w:ascii="仿宋" w:eastAsia="仿宋" w:hAnsi="仿宋"/>
                <w:sz w:val="21"/>
                <w:szCs w:val="21"/>
              </w:rPr>
              <w:t>**</w:t>
            </w:r>
            <w:r w:rsidRPr="00690CF5">
              <w:rPr>
                <w:rFonts w:ascii="仿宋" w:eastAsia="仿宋" w:hAnsi="仿宋" w:hint="eastAsia"/>
                <w:sz w:val="21"/>
                <w:szCs w:val="21"/>
              </w:rPr>
              <w:t>*</w:t>
            </w:r>
          </w:p>
        </w:tc>
        <w:tc>
          <w:tcPr>
            <w:tcW w:w="2267" w:type="dxa"/>
            <w:tcBorders>
              <w:top w:val="nil"/>
              <w:left w:val="single" w:sz="4" w:space="0" w:color="auto"/>
              <w:bottom w:val="nil"/>
              <w:right w:val="nil"/>
            </w:tcBorders>
            <w:vAlign w:val="center"/>
          </w:tcPr>
          <w:p w14:paraId="5403941D"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498</w:t>
            </w:r>
            <w:r w:rsidRPr="00690CF5">
              <w:rPr>
                <w:rFonts w:ascii="仿宋" w:eastAsia="仿宋" w:hAnsi="仿宋"/>
                <w:sz w:val="21"/>
                <w:szCs w:val="21"/>
              </w:rPr>
              <w:t>**</w:t>
            </w:r>
            <w:r w:rsidRPr="00690CF5">
              <w:rPr>
                <w:rFonts w:ascii="仿宋" w:eastAsia="仿宋" w:hAnsi="仿宋" w:hint="eastAsia"/>
                <w:sz w:val="21"/>
                <w:szCs w:val="21"/>
              </w:rPr>
              <w:t>*</w:t>
            </w:r>
          </w:p>
        </w:tc>
      </w:tr>
      <w:tr w:rsidR="005F07D1" w:rsidRPr="00690CF5" w14:paraId="4A5891CF" w14:textId="77777777" w:rsidTr="009157A3">
        <w:trPr>
          <w:jc w:val="center"/>
        </w:trPr>
        <w:tc>
          <w:tcPr>
            <w:tcW w:w="1843" w:type="dxa"/>
            <w:tcBorders>
              <w:top w:val="nil"/>
              <w:left w:val="nil"/>
              <w:bottom w:val="nil"/>
              <w:right w:val="single" w:sz="4" w:space="0" w:color="auto"/>
            </w:tcBorders>
            <w:vAlign w:val="center"/>
          </w:tcPr>
          <w:p w14:paraId="0460D7FC" w14:textId="77777777" w:rsidR="005F07D1" w:rsidRPr="00690CF5" w:rsidRDefault="005F07D1" w:rsidP="00690CF5">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124A7ED8"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(0.1</w:t>
            </w:r>
            <w:r w:rsidRPr="00690CF5">
              <w:rPr>
                <w:rFonts w:ascii="仿宋" w:eastAsia="仿宋" w:hAnsi="仿宋" w:hint="eastAsia"/>
                <w:sz w:val="21"/>
                <w:szCs w:val="21"/>
              </w:rPr>
              <w:t>42</w:t>
            </w:r>
            <w:r w:rsidRPr="00690CF5">
              <w:rPr>
                <w:rFonts w:ascii="仿宋" w:eastAsia="仿宋" w:hAnsi="仿宋"/>
                <w:sz w:val="21"/>
                <w:szCs w:val="21"/>
              </w:rPr>
              <w:t>)</w:t>
            </w:r>
          </w:p>
        </w:tc>
        <w:tc>
          <w:tcPr>
            <w:tcW w:w="2127" w:type="dxa"/>
            <w:tcBorders>
              <w:top w:val="nil"/>
              <w:left w:val="single" w:sz="4" w:space="0" w:color="auto"/>
              <w:bottom w:val="nil"/>
              <w:right w:val="single" w:sz="4" w:space="0" w:color="auto"/>
            </w:tcBorders>
            <w:vAlign w:val="center"/>
          </w:tcPr>
          <w:p w14:paraId="4EF0E2F5"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w:t>
            </w:r>
            <w:r w:rsidRPr="00690CF5">
              <w:rPr>
                <w:rFonts w:ascii="仿宋" w:eastAsia="仿宋" w:hAnsi="仿宋" w:hint="eastAsia"/>
                <w:sz w:val="21"/>
                <w:szCs w:val="21"/>
              </w:rPr>
              <w:t>1.786</w:t>
            </w:r>
            <w:r w:rsidRPr="00690CF5">
              <w:rPr>
                <w:rFonts w:ascii="仿宋" w:eastAsia="仿宋" w:hAnsi="仿宋"/>
                <w:sz w:val="21"/>
                <w:szCs w:val="21"/>
              </w:rPr>
              <w:t>)</w:t>
            </w:r>
          </w:p>
        </w:tc>
        <w:tc>
          <w:tcPr>
            <w:tcW w:w="2267" w:type="dxa"/>
            <w:tcBorders>
              <w:top w:val="nil"/>
              <w:left w:val="single" w:sz="4" w:space="0" w:color="auto"/>
              <w:bottom w:val="nil"/>
              <w:right w:val="nil"/>
            </w:tcBorders>
            <w:vAlign w:val="center"/>
          </w:tcPr>
          <w:p w14:paraId="0A3FBD94"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(0.1</w:t>
            </w:r>
            <w:r w:rsidRPr="00690CF5">
              <w:rPr>
                <w:rFonts w:ascii="仿宋" w:eastAsia="仿宋" w:hAnsi="仿宋" w:hint="eastAsia"/>
                <w:sz w:val="21"/>
                <w:szCs w:val="21"/>
              </w:rPr>
              <w:t>46</w:t>
            </w:r>
            <w:r w:rsidRPr="00690CF5">
              <w:rPr>
                <w:rFonts w:ascii="仿宋" w:eastAsia="仿宋" w:hAnsi="仿宋"/>
                <w:sz w:val="21"/>
                <w:szCs w:val="21"/>
              </w:rPr>
              <w:t>)</w:t>
            </w:r>
          </w:p>
        </w:tc>
      </w:tr>
      <w:tr w:rsidR="005F07D1" w:rsidRPr="00690CF5" w14:paraId="7B58BDD2" w14:textId="77777777" w:rsidTr="009157A3">
        <w:trPr>
          <w:jc w:val="center"/>
        </w:trPr>
        <w:tc>
          <w:tcPr>
            <w:tcW w:w="1843" w:type="dxa"/>
            <w:tcBorders>
              <w:top w:val="nil"/>
              <w:left w:val="nil"/>
              <w:bottom w:val="nil"/>
              <w:right w:val="single" w:sz="4" w:space="0" w:color="auto"/>
            </w:tcBorders>
            <w:vAlign w:val="center"/>
          </w:tcPr>
          <w:p w14:paraId="42DE9122"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126" w:type="dxa"/>
            <w:tcBorders>
              <w:top w:val="nil"/>
              <w:left w:val="single" w:sz="4" w:space="0" w:color="auto"/>
              <w:bottom w:val="nil"/>
              <w:right w:val="single" w:sz="4" w:space="0" w:color="auto"/>
            </w:tcBorders>
            <w:vAlign w:val="center"/>
          </w:tcPr>
          <w:p w14:paraId="6F72A482" w14:textId="77777777" w:rsidR="005F07D1" w:rsidRPr="00690CF5"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1C1E034B" w14:textId="77777777" w:rsidR="005F07D1" w:rsidRPr="00690CF5" w:rsidRDefault="005F07D1" w:rsidP="00690CF5">
            <w:pPr>
              <w:ind w:firstLineChars="0" w:firstLine="0"/>
              <w:jc w:val="center"/>
              <w:rPr>
                <w:rFonts w:ascii="仿宋" w:eastAsia="仿宋" w:hAnsi="仿宋"/>
                <w:sz w:val="21"/>
                <w:szCs w:val="21"/>
              </w:rPr>
            </w:pPr>
          </w:p>
        </w:tc>
        <w:tc>
          <w:tcPr>
            <w:tcW w:w="2267" w:type="dxa"/>
            <w:tcBorders>
              <w:top w:val="nil"/>
              <w:left w:val="single" w:sz="4" w:space="0" w:color="auto"/>
              <w:bottom w:val="nil"/>
              <w:right w:val="nil"/>
            </w:tcBorders>
            <w:vAlign w:val="center"/>
          </w:tcPr>
          <w:p w14:paraId="467115A9"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-0.019</w:t>
            </w:r>
            <w:r w:rsidRPr="00690CF5">
              <w:rPr>
                <w:rFonts w:ascii="仿宋" w:eastAsia="仿宋" w:hAnsi="仿宋"/>
                <w:sz w:val="21"/>
                <w:szCs w:val="21"/>
              </w:rPr>
              <w:t>**</w:t>
            </w:r>
          </w:p>
        </w:tc>
      </w:tr>
      <w:tr w:rsidR="005F07D1" w:rsidRPr="00690CF5" w14:paraId="42A5C5FC" w14:textId="77777777" w:rsidTr="009157A3">
        <w:trPr>
          <w:jc w:val="center"/>
        </w:trPr>
        <w:tc>
          <w:tcPr>
            <w:tcW w:w="1843" w:type="dxa"/>
            <w:tcBorders>
              <w:top w:val="nil"/>
              <w:left w:val="nil"/>
              <w:bottom w:val="nil"/>
              <w:right w:val="single" w:sz="4" w:space="0" w:color="auto"/>
            </w:tcBorders>
            <w:vAlign w:val="center"/>
          </w:tcPr>
          <w:p w14:paraId="167721CB" w14:textId="77777777" w:rsidR="005F07D1" w:rsidRPr="00690CF5" w:rsidRDefault="005F07D1" w:rsidP="00690CF5">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73583000" w14:textId="77777777" w:rsidR="005F07D1" w:rsidRPr="00690CF5" w:rsidRDefault="005F07D1" w:rsidP="00690CF5">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1936663D" w14:textId="77777777" w:rsidR="005F07D1" w:rsidRPr="00690CF5" w:rsidRDefault="005F07D1" w:rsidP="00690CF5">
            <w:pPr>
              <w:ind w:firstLineChars="0" w:firstLine="0"/>
              <w:jc w:val="center"/>
              <w:rPr>
                <w:rFonts w:ascii="仿宋" w:eastAsia="仿宋" w:hAnsi="仿宋"/>
                <w:sz w:val="21"/>
                <w:szCs w:val="21"/>
              </w:rPr>
            </w:pPr>
          </w:p>
        </w:tc>
        <w:tc>
          <w:tcPr>
            <w:tcW w:w="2267" w:type="dxa"/>
            <w:tcBorders>
              <w:top w:val="nil"/>
              <w:left w:val="single" w:sz="4" w:space="0" w:color="auto"/>
              <w:bottom w:val="nil"/>
              <w:right w:val="nil"/>
            </w:tcBorders>
            <w:vAlign w:val="center"/>
          </w:tcPr>
          <w:p w14:paraId="56FCFDE9"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sz w:val="21"/>
                <w:szCs w:val="21"/>
              </w:rPr>
              <w:t>(0.0</w:t>
            </w:r>
            <w:r w:rsidRPr="00690CF5">
              <w:rPr>
                <w:rFonts w:ascii="仿宋" w:eastAsia="仿宋" w:hAnsi="仿宋" w:hint="eastAsia"/>
                <w:sz w:val="21"/>
                <w:szCs w:val="21"/>
              </w:rPr>
              <w:t>09</w:t>
            </w:r>
            <w:r w:rsidRPr="00690CF5">
              <w:rPr>
                <w:rFonts w:ascii="仿宋" w:eastAsia="仿宋" w:hAnsi="仿宋"/>
                <w:sz w:val="21"/>
                <w:szCs w:val="21"/>
              </w:rPr>
              <w:t>)</w:t>
            </w:r>
          </w:p>
        </w:tc>
      </w:tr>
      <w:tr w:rsidR="005F07D1" w:rsidRPr="00690CF5" w14:paraId="1D0C1736" w14:textId="77777777" w:rsidTr="009157A3">
        <w:trPr>
          <w:jc w:val="center"/>
        </w:trPr>
        <w:tc>
          <w:tcPr>
            <w:tcW w:w="1843" w:type="dxa"/>
            <w:tcBorders>
              <w:top w:val="nil"/>
              <w:left w:val="nil"/>
              <w:bottom w:val="nil"/>
              <w:right w:val="single" w:sz="4" w:space="0" w:color="auto"/>
            </w:tcBorders>
            <w:vAlign w:val="center"/>
          </w:tcPr>
          <w:p w14:paraId="6CA9356D"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控制变量</w:t>
            </w:r>
          </w:p>
        </w:tc>
        <w:tc>
          <w:tcPr>
            <w:tcW w:w="2126" w:type="dxa"/>
            <w:tcBorders>
              <w:top w:val="nil"/>
              <w:left w:val="single" w:sz="4" w:space="0" w:color="auto"/>
              <w:bottom w:val="nil"/>
              <w:right w:val="single" w:sz="4" w:space="0" w:color="auto"/>
            </w:tcBorders>
            <w:vAlign w:val="center"/>
          </w:tcPr>
          <w:p w14:paraId="3273917B"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127" w:type="dxa"/>
            <w:tcBorders>
              <w:top w:val="nil"/>
              <w:left w:val="single" w:sz="4" w:space="0" w:color="auto"/>
              <w:bottom w:val="nil"/>
              <w:right w:val="single" w:sz="4" w:space="0" w:color="auto"/>
            </w:tcBorders>
            <w:vAlign w:val="center"/>
          </w:tcPr>
          <w:p w14:paraId="16A0F154"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267" w:type="dxa"/>
            <w:tcBorders>
              <w:top w:val="nil"/>
              <w:left w:val="single" w:sz="4" w:space="0" w:color="auto"/>
              <w:bottom w:val="nil"/>
              <w:right w:val="nil"/>
            </w:tcBorders>
            <w:vAlign w:val="center"/>
          </w:tcPr>
          <w:p w14:paraId="3756EE98"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r>
      <w:tr w:rsidR="005F07D1" w:rsidRPr="00690CF5" w14:paraId="1CC42178" w14:textId="77777777" w:rsidTr="009157A3">
        <w:trPr>
          <w:jc w:val="center"/>
        </w:trPr>
        <w:tc>
          <w:tcPr>
            <w:tcW w:w="1843" w:type="dxa"/>
            <w:tcBorders>
              <w:top w:val="nil"/>
              <w:left w:val="nil"/>
              <w:bottom w:val="nil"/>
              <w:right w:val="single" w:sz="4" w:space="0" w:color="auto"/>
            </w:tcBorders>
            <w:vAlign w:val="center"/>
          </w:tcPr>
          <w:p w14:paraId="73E32BDC"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地区固定</w:t>
            </w:r>
          </w:p>
        </w:tc>
        <w:tc>
          <w:tcPr>
            <w:tcW w:w="2126" w:type="dxa"/>
            <w:tcBorders>
              <w:top w:val="nil"/>
              <w:left w:val="single" w:sz="4" w:space="0" w:color="auto"/>
              <w:bottom w:val="nil"/>
              <w:right w:val="single" w:sz="4" w:space="0" w:color="auto"/>
            </w:tcBorders>
            <w:vAlign w:val="center"/>
          </w:tcPr>
          <w:p w14:paraId="6D168E6E"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15630760"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267" w:type="dxa"/>
            <w:tcBorders>
              <w:top w:val="nil"/>
              <w:left w:val="single" w:sz="4" w:space="0" w:color="auto"/>
              <w:bottom w:val="nil"/>
              <w:right w:val="nil"/>
            </w:tcBorders>
            <w:vAlign w:val="center"/>
          </w:tcPr>
          <w:p w14:paraId="131EB9A1"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3EEF1C14" w14:textId="77777777" w:rsidTr="009157A3">
        <w:trPr>
          <w:jc w:val="center"/>
        </w:trPr>
        <w:tc>
          <w:tcPr>
            <w:tcW w:w="1843" w:type="dxa"/>
            <w:tcBorders>
              <w:top w:val="nil"/>
              <w:left w:val="nil"/>
              <w:bottom w:val="nil"/>
              <w:right w:val="single" w:sz="4" w:space="0" w:color="auto"/>
            </w:tcBorders>
            <w:vAlign w:val="center"/>
          </w:tcPr>
          <w:p w14:paraId="2B44B31D"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时间固定</w:t>
            </w:r>
          </w:p>
        </w:tc>
        <w:tc>
          <w:tcPr>
            <w:tcW w:w="2126" w:type="dxa"/>
            <w:tcBorders>
              <w:top w:val="nil"/>
              <w:left w:val="single" w:sz="4" w:space="0" w:color="auto"/>
              <w:bottom w:val="nil"/>
              <w:right w:val="single" w:sz="4" w:space="0" w:color="auto"/>
            </w:tcBorders>
            <w:vAlign w:val="center"/>
          </w:tcPr>
          <w:p w14:paraId="0598340F"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3B11D2BB"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267" w:type="dxa"/>
            <w:tcBorders>
              <w:top w:val="nil"/>
              <w:left w:val="single" w:sz="4" w:space="0" w:color="auto"/>
              <w:bottom w:val="nil"/>
              <w:right w:val="nil"/>
            </w:tcBorders>
            <w:vAlign w:val="center"/>
          </w:tcPr>
          <w:p w14:paraId="35CE1B03"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2212880C" w14:textId="77777777" w:rsidTr="009157A3">
        <w:trPr>
          <w:jc w:val="center"/>
        </w:trPr>
        <w:tc>
          <w:tcPr>
            <w:tcW w:w="1843" w:type="dxa"/>
            <w:tcBorders>
              <w:top w:val="nil"/>
              <w:left w:val="nil"/>
              <w:bottom w:val="single" w:sz="4" w:space="0" w:color="auto"/>
              <w:right w:val="single" w:sz="4" w:space="0" w:color="auto"/>
            </w:tcBorders>
            <w:vAlign w:val="center"/>
          </w:tcPr>
          <w:p w14:paraId="76150ADF"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观测值</w:t>
            </w:r>
          </w:p>
        </w:tc>
        <w:tc>
          <w:tcPr>
            <w:tcW w:w="2126" w:type="dxa"/>
            <w:tcBorders>
              <w:top w:val="nil"/>
              <w:left w:val="single" w:sz="4" w:space="0" w:color="auto"/>
              <w:bottom w:val="single" w:sz="4" w:space="0" w:color="auto"/>
              <w:right w:val="single" w:sz="4" w:space="0" w:color="auto"/>
            </w:tcBorders>
            <w:vAlign w:val="center"/>
          </w:tcPr>
          <w:p w14:paraId="204F0486"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99</w:t>
            </w:r>
          </w:p>
        </w:tc>
        <w:tc>
          <w:tcPr>
            <w:tcW w:w="2127" w:type="dxa"/>
            <w:tcBorders>
              <w:top w:val="nil"/>
              <w:left w:val="single" w:sz="4" w:space="0" w:color="auto"/>
              <w:bottom w:val="single" w:sz="4" w:space="0" w:color="auto"/>
              <w:right w:val="single" w:sz="4" w:space="0" w:color="auto"/>
            </w:tcBorders>
            <w:vAlign w:val="center"/>
          </w:tcPr>
          <w:p w14:paraId="126D57BB"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99</w:t>
            </w:r>
          </w:p>
        </w:tc>
        <w:tc>
          <w:tcPr>
            <w:tcW w:w="2267" w:type="dxa"/>
            <w:tcBorders>
              <w:top w:val="nil"/>
              <w:left w:val="single" w:sz="4" w:space="0" w:color="auto"/>
              <w:bottom w:val="single" w:sz="4" w:space="0" w:color="auto"/>
              <w:right w:val="nil"/>
            </w:tcBorders>
            <w:vAlign w:val="center"/>
          </w:tcPr>
          <w:p w14:paraId="07CB6C9D" w14:textId="77777777"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99</w:t>
            </w:r>
          </w:p>
        </w:tc>
      </w:tr>
    </w:tbl>
    <w:p w14:paraId="3BF9F300" w14:textId="77777777" w:rsidR="005F07D1" w:rsidRDefault="00000000" w:rsidP="0045411C">
      <w:r>
        <w:rPr>
          <w:rFonts w:hint="eastAsia"/>
        </w:rPr>
        <w:t>在剔除了直辖市的样本数据后可得，绿色金融回归系数仍然在</w:t>
      </w:r>
      <w:r>
        <w:rPr>
          <w:rFonts w:hint="eastAsia"/>
        </w:rPr>
        <w:t>1%</w:t>
      </w:r>
      <w:r>
        <w:rPr>
          <w:rFonts w:hint="eastAsia"/>
        </w:rPr>
        <w:t>的水平上负向显著，表明研究结论具有稳健性。</w:t>
      </w:r>
    </w:p>
    <w:p w14:paraId="7EEC1B24" w14:textId="77777777" w:rsidR="005F07D1" w:rsidRDefault="00000000" w:rsidP="0045411C">
      <w:pPr>
        <w:pStyle w:val="a8"/>
        <w:numPr>
          <w:ilvl w:val="0"/>
          <w:numId w:val="5"/>
        </w:numPr>
        <w:ind w:firstLineChars="0"/>
      </w:pPr>
      <w:r>
        <w:rPr>
          <w:rFonts w:hint="eastAsia"/>
        </w:rPr>
        <w:t>缩尾处理。本文通过剔除个别异常值的影响从而进一步证明中介回归</w:t>
      </w:r>
      <w:r>
        <w:rPr>
          <w:rFonts w:hint="eastAsia"/>
        </w:rPr>
        <w:lastRenderedPageBreak/>
        <w:t>结果的稳健性，结果如表</w:t>
      </w:r>
      <w:r>
        <w:rPr>
          <w:rFonts w:hint="eastAsia"/>
        </w:rPr>
        <w:t xml:space="preserve"> </w:t>
      </w:r>
      <w:r>
        <w:rPr>
          <w:rFonts w:hint="eastAsia"/>
        </w:rPr>
        <w:t>所示。</w:t>
      </w:r>
    </w:p>
    <w:p w14:paraId="42DA339B" w14:textId="334EBC42" w:rsidR="005F07D1" w:rsidRPr="00690CF5" w:rsidRDefault="00000000" w:rsidP="00690CF5">
      <w:pPr>
        <w:ind w:firstLineChars="0" w:firstLine="0"/>
        <w:jc w:val="center"/>
        <w:rPr>
          <w:rFonts w:ascii="仿宋" w:eastAsia="仿宋" w:hAnsi="仿宋"/>
          <w:sz w:val="21"/>
          <w:szCs w:val="21"/>
        </w:rPr>
      </w:pPr>
      <w:r w:rsidRPr="00690CF5">
        <w:rPr>
          <w:rFonts w:ascii="仿宋" w:eastAsia="仿宋" w:hAnsi="仿宋" w:hint="eastAsia"/>
          <w:sz w:val="21"/>
          <w:szCs w:val="21"/>
        </w:rPr>
        <w:t>表</w:t>
      </w:r>
      <w:r w:rsidR="00085670">
        <w:rPr>
          <w:rFonts w:ascii="仿宋" w:eastAsia="仿宋" w:hAnsi="仿宋"/>
          <w:sz w:val="21"/>
          <w:szCs w:val="21"/>
        </w:rPr>
        <w:t>8</w:t>
      </w:r>
      <w:r w:rsidRPr="00690CF5">
        <w:rPr>
          <w:rFonts w:ascii="仿宋" w:eastAsia="仿宋" w:hAnsi="仿宋" w:hint="eastAsia"/>
          <w:sz w:val="21"/>
          <w:szCs w:val="21"/>
        </w:rPr>
        <w:t xml:space="preserve"> 缩尾后的稳健性检验</w:t>
      </w:r>
    </w:p>
    <w:tbl>
      <w:tblPr>
        <w:tblW w:w="8364" w:type="dxa"/>
        <w:jc w:val="center"/>
        <w:tblLayout w:type="fixed"/>
        <w:tblLook w:val="04A0" w:firstRow="1" w:lastRow="0" w:firstColumn="1" w:lastColumn="0" w:noHBand="0" w:noVBand="1"/>
      </w:tblPr>
      <w:tblGrid>
        <w:gridCol w:w="1843"/>
        <w:gridCol w:w="2126"/>
        <w:gridCol w:w="2127"/>
        <w:gridCol w:w="2268"/>
      </w:tblGrid>
      <w:tr w:rsidR="00530E79" w:rsidRPr="00690CF5" w14:paraId="525F701C" w14:textId="77777777" w:rsidTr="00530E79">
        <w:trPr>
          <w:jc w:val="center"/>
        </w:trPr>
        <w:tc>
          <w:tcPr>
            <w:tcW w:w="1843" w:type="dxa"/>
            <w:vMerge w:val="restart"/>
            <w:tcBorders>
              <w:top w:val="single" w:sz="6" w:space="0" w:color="auto"/>
              <w:left w:val="nil"/>
              <w:right w:val="single" w:sz="4" w:space="0" w:color="auto"/>
            </w:tcBorders>
            <w:vAlign w:val="center"/>
          </w:tcPr>
          <w:p w14:paraId="47FAA124" w14:textId="530BCEA7" w:rsidR="00530E79" w:rsidRPr="00690CF5" w:rsidRDefault="00530E79" w:rsidP="00530E79">
            <w:pPr>
              <w:ind w:firstLine="420"/>
              <w:jc w:val="center"/>
              <w:rPr>
                <w:rFonts w:ascii="仿宋" w:eastAsia="仿宋" w:hAnsi="仿宋" w:hint="eastAsia"/>
                <w:sz w:val="21"/>
                <w:szCs w:val="21"/>
              </w:rPr>
            </w:pPr>
            <w:r w:rsidRPr="00690CF5">
              <w:rPr>
                <w:rFonts w:ascii="仿宋" w:eastAsia="仿宋" w:hAnsi="仿宋" w:hint="eastAsia"/>
                <w:sz w:val="21"/>
                <w:szCs w:val="21"/>
              </w:rPr>
              <w:t>变量名</w:t>
            </w:r>
          </w:p>
        </w:tc>
        <w:tc>
          <w:tcPr>
            <w:tcW w:w="2126" w:type="dxa"/>
            <w:tcBorders>
              <w:top w:val="single" w:sz="6" w:space="0" w:color="auto"/>
              <w:left w:val="single" w:sz="4" w:space="0" w:color="auto"/>
              <w:bottom w:val="single" w:sz="4" w:space="0" w:color="auto"/>
              <w:right w:val="single" w:sz="4" w:space="0" w:color="auto"/>
            </w:tcBorders>
            <w:vAlign w:val="center"/>
          </w:tcPr>
          <w:p w14:paraId="7504C821" w14:textId="77777777"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sz w:val="21"/>
                <w:szCs w:val="21"/>
              </w:rPr>
              <w:t>(1)</w:t>
            </w:r>
            <w:r w:rsidRPr="00690CF5">
              <w:rPr>
                <w:rFonts w:ascii="仿宋" w:eastAsia="仿宋" w:hAnsi="仿宋" w:hint="eastAsia"/>
                <w:sz w:val="21"/>
                <w:szCs w:val="21"/>
              </w:rPr>
              <w:t>总路径</w:t>
            </w:r>
          </w:p>
        </w:tc>
        <w:tc>
          <w:tcPr>
            <w:tcW w:w="2127" w:type="dxa"/>
            <w:tcBorders>
              <w:top w:val="single" w:sz="6" w:space="0" w:color="auto"/>
              <w:left w:val="single" w:sz="4" w:space="0" w:color="auto"/>
              <w:bottom w:val="single" w:sz="4" w:space="0" w:color="auto"/>
              <w:right w:val="single" w:sz="4" w:space="0" w:color="auto"/>
            </w:tcBorders>
            <w:vAlign w:val="center"/>
          </w:tcPr>
          <w:p w14:paraId="537E82F6" w14:textId="77777777"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sz w:val="21"/>
                <w:szCs w:val="21"/>
              </w:rPr>
              <w:t>(2)</w:t>
            </w:r>
            <w:r w:rsidRPr="00690CF5">
              <w:rPr>
                <w:rFonts w:ascii="仿宋" w:eastAsia="仿宋" w:hAnsi="仿宋" w:hint="eastAsia"/>
                <w:sz w:val="21"/>
                <w:szCs w:val="21"/>
              </w:rPr>
              <w:t>间接路径</w:t>
            </w:r>
          </w:p>
        </w:tc>
        <w:tc>
          <w:tcPr>
            <w:tcW w:w="2268" w:type="dxa"/>
            <w:tcBorders>
              <w:top w:val="single" w:sz="6" w:space="0" w:color="auto"/>
              <w:left w:val="single" w:sz="4" w:space="0" w:color="auto"/>
              <w:bottom w:val="single" w:sz="4" w:space="0" w:color="auto"/>
              <w:right w:val="nil"/>
            </w:tcBorders>
            <w:vAlign w:val="center"/>
          </w:tcPr>
          <w:p w14:paraId="377303A4" w14:textId="77777777"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sz w:val="21"/>
                <w:szCs w:val="21"/>
              </w:rPr>
              <w:t>(3)</w:t>
            </w:r>
            <w:r w:rsidRPr="00690CF5">
              <w:rPr>
                <w:rFonts w:ascii="仿宋" w:eastAsia="仿宋" w:hAnsi="仿宋" w:hint="eastAsia"/>
                <w:sz w:val="21"/>
                <w:szCs w:val="21"/>
              </w:rPr>
              <w:t>直接路径</w:t>
            </w:r>
          </w:p>
        </w:tc>
      </w:tr>
      <w:tr w:rsidR="00530E79" w:rsidRPr="00690CF5" w14:paraId="788B0105" w14:textId="77777777" w:rsidTr="00530E79">
        <w:trPr>
          <w:jc w:val="center"/>
        </w:trPr>
        <w:tc>
          <w:tcPr>
            <w:tcW w:w="1843" w:type="dxa"/>
            <w:vMerge/>
            <w:tcBorders>
              <w:left w:val="nil"/>
              <w:bottom w:val="single" w:sz="6" w:space="0" w:color="auto"/>
              <w:right w:val="single" w:sz="4" w:space="0" w:color="auto"/>
            </w:tcBorders>
            <w:vAlign w:val="center"/>
          </w:tcPr>
          <w:p w14:paraId="325CD197" w14:textId="3F9505C9" w:rsidR="00530E79" w:rsidRPr="00690CF5" w:rsidRDefault="00530E79" w:rsidP="00530E79">
            <w:pPr>
              <w:ind w:firstLineChars="0" w:firstLine="0"/>
              <w:jc w:val="center"/>
              <w:rPr>
                <w:rFonts w:ascii="仿宋" w:eastAsia="仿宋" w:hAnsi="仿宋" w:hint="eastAsia"/>
                <w:sz w:val="21"/>
                <w:szCs w:val="21"/>
              </w:rPr>
            </w:pPr>
          </w:p>
        </w:tc>
        <w:tc>
          <w:tcPr>
            <w:tcW w:w="2126" w:type="dxa"/>
            <w:tcBorders>
              <w:top w:val="single" w:sz="4" w:space="0" w:color="auto"/>
              <w:left w:val="single" w:sz="4" w:space="0" w:color="auto"/>
              <w:bottom w:val="single" w:sz="6" w:space="0" w:color="auto"/>
              <w:right w:val="single" w:sz="4" w:space="0" w:color="auto"/>
            </w:tcBorders>
            <w:vAlign w:val="center"/>
          </w:tcPr>
          <w:p w14:paraId="3BE682BE" w14:textId="04E5E950"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hint="eastAsia"/>
                <w:sz w:val="21"/>
                <w:szCs w:val="21"/>
              </w:rPr>
              <w:t>能源消费结构</w:t>
            </w:r>
            <w:r w:rsidRPr="00690CF5">
              <w:rPr>
                <w:rFonts w:ascii="仿宋" w:eastAsia="仿宋" w:hAnsi="仿宋" w:hint="eastAsia"/>
                <w:sz w:val="21"/>
                <w:szCs w:val="21"/>
              </w:rPr>
              <w:t>（E</w:t>
            </w:r>
            <w:r w:rsidRPr="00690CF5">
              <w:rPr>
                <w:rFonts w:ascii="仿宋" w:eastAsia="仿宋" w:hAnsi="仿宋"/>
                <w:sz w:val="21"/>
                <w:szCs w:val="21"/>
              </w:rPr>
              <w:t>S</w:t>
            </w:r>
            <w:r w:rsidRPr="00690CF5">
              <w:rPr>
                <w:rFonts w:ascii="仿宋" w:eastAsia="仿宋" w:hAnsi="仿宋" w:hint="eastAsia"/>
                <w:sz w:val="21"/>
                <w:szCs w:val="21"/>
              </w:rPr>
              <w:t>）</w:t>
            </w:r>
          </w:p>
        </w:tc>
        <w:tc>
          <w:tcPr>
            <w:tcW w:w="2127" w:type="dxa"/>
            <w:tcBorders>
              <w:top w:val="single" w:sz="4" w:space="0" w:color="auto"/>
              <w:left w:val="single" w:sz="4" w:space="0" w:color="auto"/>
              <w:bottom w:val="single" w:sz="6" w:space="0" w:color="auto"/>
              <w:right w:val="single" w:sz="4" w:space="0" w:color="auto"/>
            </w:tcBorders>
            <w:vAlign w:val="center"/>
          </w:tcPr>
          <w:p w14:paraId="4C814C6B" w14:textId="6F11685B"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268" w:type="dxa"/>
            <w:tcBorders>
              <w:top w:val="single" w:sz="4" w:space="0" w:color="auto"/>
              <w:left w:val="single" w:sz="4" w:space="0" w:color="auto"/>
              <w:bottom w:val="single" w:sz="6" w:space="0" w:color="auto"/>
              <w:right w:val="nil"/>
            </w:tcBorders>
            <w:vAlign w:val="center"/>
          </w:tcPr>
          <w:p w14:paraId="175D7CD7" w14:textId="77777777" w:rsidR="00530E79" w:rsidRPr="00690CF5" w:rsidRDefault="00530E79" w:rsidP="00530E79">
            <w:pPr>
              <w:ind w:firstLineChars="0" w:firstLine="0"/>
              <w:jc w:val="center"/>
              <w:rPr>
                <w:rFonts w:ascii="仿宋" w:eastAsia="仿宋" w:hAnsi="仿宋"/>
                <w:sz w:val="21"/>
                <w:szCs w:val="21"/>
              </w:rPr>
            </w:pPr>
            <w:r w:rsidRPr="00690CF5">
              <w:rPr>
                <w:rFonts w:ascii="仿宋" w:eastAsia="仿宋" w:hAnsi="仿宋" w:hint="eastAsia"/>
                <w:sz w:val="21"/>
                <w:szCs w:val="21"/>
              </w:rPr>
              <w:t>能源结构（E</w:t>
            </w:r>
            <w:r w:rsidRPr="00690CF5">
              <w:rPr>
                <w:rFonts w:ascii="仿宋" w:eastAsia="仿宋" w:hAnsi="仿宋"/>
                <w:sz w:val="21"/>
                <w:szCs w:val="21"/>
              </w:rPr>
              <w:t>S</w:t>
            </w:r>
            <w:r w:rsidRPr="00690CF5">
              <w:rPr>
                <w:rFonts w:ascii="仿宋" w:eastAsia="仿宋" w:hAnsi="仿宋" w:hint="eastAsia"/>
                <w:sz w:val="21"/>
                <w:szCs w:val="21"/>
              </w:rPr>
              <w:t>）</w:t>
            </w:r>
          </w:p>
        </w:tc>
      </w:tr>
      <w:tr w:rsidR="005F07D1" w:rsidRPr="00690CF5" w14:paraId="427543F9" w14:textId="77777777" w:rsidTr="00530E79">
        <w:trPr>
          <w:jc w:val="center"/>
        </w:trPr>
        <w:tc>
          <w:tcPr>
            <w:tcW w:w="1843" w:type="dxa"/>
            <w:tcBorders>
              <w:top w:val="nil"/>
              <w:left w:val="nil"/>
              <w:bottom w:val="nil"/>
              <w:right w:val="single" w:sz="4" w:space="0" w:color="auto"/>
            </w:tcBorders>
            <w:vAlign w:val="center"/>
          </w:tcPr>
          <w:p w14:paraId="07B31082"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绿色金融指数（G</w:t>
            </w:r>
            <w:r w:rsidRPr="00690CF5">
              <w:rPr>
                <w:rFonts w:ascii="仿宋" w:eastAsia="仿宋" w:hAnsi="仿宋"/>
                <w:sz w:val="21"/>
                <w:szCs w:val="21"/>
              </w:rPr>
              <w:t>F</w:t>
            </w:r>
            <w:r w:rsidRPr="00690CF5">
              <w:rPr>
                <w:rFonts w:ascii="仿宋" w:eastAsia="仿宋" w:hAnsi="仿宋" w:hint="eastAsia"/>
                <w:sz w:val="21"/>
                <w:szCs w:val="21"/>
              </w:rPr>
              <w:t>）</w:t>
            </w:r>
          </w:p>
        </w:tc>
        <w:tc>
          <w:tcPr>
            <w:tcW w:w="2126" w:type="dxa"/>
            <w:tcBorders>
              <w:top w:val="nil"/>
              <w:left w:val="single" w:sz="4" w:space="0" w:color="auto"/>
              <w:bottom w:val="nil"/>
              <w:right w:val="single" w:sz="4" w:space="0" w:color="auto"/>
            </w:tcBorders>
            <w:vAlign w:val="center"/>
          </w:tcPr>
          <w:p w14:paraId="7B8D1015"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558</w:t>
            </w:r>
            <w:r w:rsidRPr="00690CF5">
              <w:rPr>
                <w:rFonts w:ascii="仿宋" w:eastAsia="仿宋" w:hAnsi="仿宋"/>
                <w:sz w:val="21"/>
                <w:szCs w:val="21"/>
              </w:rPr>
              <w:t>***</w:t>
            </w:r>
          </w:p>
        </w:tc>
        <w:tc>
          <w:tcPr>
            <w:tcW w:w="2127" w:type="dxa"/>
            <w:tcBorders>
              <w:top w:val="nil"/>
              <w:left w:val="single" w:sz="4" w:space="0" w:color="auto"/>
              <w:bottom w:val="nil"/>
              <w:right w:val="single" w:sz="4" w:space="0" w:color="auto"/>
            </w:tcBorders>
            <w:vAlign w:val="center"/>
          </w:tcPr>
          <w:p w14:paraId="6DAEF30E"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5.422</w:t>
            </w:r>
            <w:r w:rsidRPr="00690CF5">
              <w:rPr>
                <w:rFonts w:ascii="仿宋" w:eastAsia="仿宋" w:hAnsi="仿宋"/>
                <w:sz w:val="21"/>
                <w:szCs w:val="21"/>
              </w:rPr>
              <w:t>**</w:t>
            </w:r>
            <w:r w:rsidRPr="00690CF5">
              <w:rPr>
                <w:rFonts w:ascii="仿宋" w:eastAsia="仿宋" w:hAnsi="仿宋" w:hint="eastAsia"/>
                <w:sz w:val="21"/>
                <w:szCs w:val="21"/>
              </w:rPr>
              <w:t>*</w:t>
            </w:r>
          </w:p>
        </w:tc>
        <w:tc>
          <w:tcPr>
            <w:tcW w:w="2268" w:type="dxa"/>
            <w:tcBorders>
              <w:top w:val="nil"/>
              <w:left w:val="single" w:sz="4" w:space="0" w:color="auto"/>
              <w:bottom w:val="nil"/>
              <w:right w:val="nil"/>
            </w:tcBorders>
            <w:vAlign w:val="center"/>
          </w:tcPr>
          <w:p w14:paraId="6BAF62FC"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-0.</w:t>
            </w:r>
            <w:r w:rsidRPr="00690CF5">
              <w:rPr>
                <w:rFonts w:ascii="仿宋" w:eastAsia="仿宋" w:hAnsi="仿宋" w:hint="eastAsia"/>
                <w:sz w:val="21"/>
                <w:szCs w:val="21"/>
              </w:rPr>
              <w:t>467</w:t>
            </w:r>
            <w:r w:rsidRPr="00690CF5">
              <w:rPr>
                <w:rFonts w:ascii="仿宋" w:eastAsia="仿宋" w:hAnsi="仿宋"/>
                <w:sz w:val="21"/>
                <w:szCs w:val="21"/>
              </w:rPr>
              <w:t>**</w:t>
            </w:r>
            <w:r w:rsidRPr="00690CF5">
              <w:rPr>
                <w:rFonts w:ascii="仿宋" w:eastAsia="仿宋" w:hAnsi="仿宋" w:hint="eastAsia"/>
                <w:sz w:val="21"/>
                <w:szCs w:val="21"/>
              </w:rPr>
              <w:t>*</w:t>
            </w:r>
          </w:p>
        </w:tc>
      </w:tr>
      <w:tr w:rsidR="005F07D1" w:rsidRPr="00690CF5" w14:paraId="4A93AF4F" w14:textId="77777777" w:rsidTr="00530E79">
        <w:trPr>
          <w:jc w:val="center"/>
        </w:trPr>
        <w:tc>
          <w:tcPr>
            <w:tcW w:w="1843" w:type="dxa"/>
            <w:tcBorders>
              <w:top w:val="nil"/>
              <w:left w:val="nil"/>
              <w:bottom w:val="nil"/>
              <w:right w:val="single" w:sz="4" w:space="0" w:color="auto"/>
            </w:tcBorders>
            <w:vAlign w:val="center"/>
          </w:tcPr>
          <w:p w14:paraId="27BD8CFD" w14:textId="77777777" w:rsidR="005F07D1" w:rsidRPr="00690CF5" w:rsidRDefault="005F07D1" w:rsidP="00530E79">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2DD67E1C"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(0.123)</w:t>
            </w:r>
          </w:p>
        </w:tc>
        <w:tc>
          <w:tcPr>
            <w:tcW w:w="2127" w:type="dxa"/>
            <w:tcBorders>
              <w:top w:val="nil"/>
              <w:left w:val="single" w:sz="4" w:space="0" w:color="auto"/>
              <w:bottom w:val="nil"/>
              <w:right w:val="single" w:sz="4" w:space="0" w:color="auto"/>
            </w:tcBorders>
            <w:vAlign w:val="center"/>
          </w:tcPr>
          <w:p w14:paraId="18B0B47E"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w:t>
            </w:r>
            <w:r w:rsidRPr="00690CF5">
              <w:rPr>
                <w:rFonts w:ascii="仿宋" w:eastAsia="仿宋" w:hAnsi="仿宋" w:hint="eastAsia"/>
                <w:sz w:val="21"/>
                <w:szCs w:val="21"/>
              </w:rPr>
              <w:t>1.584</w:t>
            </w:r>
            <w:r w:rsidRPr="00690CF5">
              <w:rPr>
                <w:rFonts w:ascii="仿宋" w:eastAsia="仿宋" w:hAnsi="仿宋"/>
                <w:sz w:val="21"/>
                <w:szCs w:val="21"/>
              </w:rPr>
              <w:t>)</w:t>
            </w:r>
          </w:p>
        </w:tc>
        <w:tc>
          <w:tcPr>
            <w:tcW w:w="2268" w:type="dxa"/>
            <w:tcBorders>
              <w:top w:val="nil"/>
              <w:left w:val="single" w:sz="4" w:space="0" w:color="auto"/>
              <w:bottom w:val="nil"/>
              <w:right w:val="nil"/>
            </w:tcBorders>
            <w:vAlign w:val="center"/>
          </w:tcPr>
          <w:p w14:paraId="4E0901B7"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(0.1</w:t>
            </w:r>
            <w:r w:rsidRPr="00690CF5">
              <w:rPr>
                <w:rFonts w:ascii="仿宋" w:eastAsia="仿宋" w:hAnsi="仿宋" w:hint="eastAsia"/>
                <w:sz w:val="21"/>
                <w:szCs w:val="21"/>
              </w:rPr>
              <w:t>28</w:t>
            </w:r>
            <w:r w:rsidRPr="00690CF5">
              <w:rPr>
                <w:rFonts w:ascii="仿宋" w:eastAsia="仿宋" w:hAnsi="仿宋"/>
                <w:sz w:val="21"/>
                <w:szCs w:val="21"/>
              </w:rPr>
              <w:t>)</w:t>
            </w:r>
          </w:p>
        </w:tc>
      </w:tr>
      <w:tr w:rsidR="005F07D1" w:rsidRPr="00690CF5" w14:paraId="67A030F2" w14:textId="77777777" w:rsidTr="00530E79">
        <w:trPr>
          <w:jc w:val="center"/>
        </w:trPr>
        <w:tc>
          <w:tcPr>
            <w:tcW w:w="1843" w:type="dxa"/>
            <w:tcBorders>
              <w:top w:val="nil"/>
              <w:left w:val="nil"/>
              <w:bottom w:val="nil"/>
              <w:right w:val="single" w:sz="4" w:space="0" w:color="auto"/>
            </w:tcBorders>
            <w:vAlign w:val="center"/>
          </w:tcPr>
          <w:p w14:paraId="1EB93DC5"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技术创新（TP）</w:t>
            </w:r>
          </w:p>
        </w:tc>
        <w:tc>
          <w:tcPr>
            <w:tcW w:w="2126" w:type="dxa"/>
            <w:tcBorders>
              <w:top w:val="nil"/>
              <w:left w:val="single" w:sz="4" w:space="0" w:color="auto"/>
              <w:bottom w:val="nil"/>
              <w:right w:val="single" w:sz="4" w:space="0" w:color="auto"/>
            </w:tcBorders>
            <w:vAlign w:val="center"/>
          </w:tcPr>
          <w:p w14:paraId="438380C3" w14:textId="77777777" w:rsidR="005F07D1" w:rsidRPr="00690CF5" w:rsidRDefault="005F07D1" w:rsidP="00530E79">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26EF9CA5" w14:textId="77777777" w:rsidR="005F07D1" w:rsidRPr="00690CF5" w:rsidRDefault="005F07D1" w:rsidP="00530E79">
            <w:pPr>
              <w:ind w:firstLineChars="0" w:firstLine="0"/>
              <w:jc w:val="center"/>
              <w:rPr>
                <w:rFonts w:ascii="仿宋" w:eastAsia="仿宋" w:hAnsi="仿宋"/>
                <w:sz w:val="21"/>
                <w:szCs w:val="21"/>
              </w:rPr>
            </w:pPr>
          </w:p>
        </w:tc>
        <w:tc>
          <w:tcPr>
            <w:tcW w:w="2268" w:type="dxa"/>
            <w:tcBorders>
              <w:top w:val="nil"/>
              <w:left w:val="single" w:sz="4" w:space="0" w:color="auto"/>
              <w:bottom w:val="nil"/>
              <w:right w:val="nil"/>
            </w:tcBorders>
            <w:vAlign w:val="center"/>
          </w:tcPr>
          <w:p w14:paraId="51593DAF"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-0.017</w:t>
            </w:r>
            <w:r w:rsidRPr="00690CF5">
              <w:rPr>
                <w:rFonts w:ascii="仿宋" w:eastAsia="仿宋" w:hAnsi="仿宋"/>
                <w:sz w:val="21"/>
                <w:szCs w:val="21"/>
              </w:rPr>
              <w:t>**</w:t>
            </w:r>
          </w:p>
        </w:tc>
      </w:tr>
      <w:tr w:rsidR="005F07D1" w:rsidRPr="00690CF5" w14:paraId="2DFFBE74" w14:textId="77777777" w:rsidTr="00530E79">
        <w:trPr>
          <w:jc w:val="center"/>
        </w:trPr>
        <w:tc>
          <w:tcPr>
            <w:tcW w:w="1843" w:type="dxa"/>
            <w:tcBorders>
              <w:top w:val="nil"/>
              <w:left w:val="nil"/>
              <w:bottom w:val="nil"/>
              <w:right w:val="single" w:sz="4" w:space="0" w:color="auto"/>
            </w:tcBorders>
            <w:vAlign w:val="center"/>
          </w:tcPr>
          <w:p w14:paraId="0782B3F8" w14:textId="77777777" w:rsidR="005F07D1" w:rsidRPr="00690CF5" w:rsidRDefault="005F07D1" w:rsidP="00530E79">
            <w:pPr>
              <w:ind w:firstLineChars="0" w:firstLine="0"/>
              <w:jc w:val="center"/>
              <w:rPr>
                <w:rFonts w:ascii="仿宋" w:eastAsia="仿宋" w:hAnsi="仿宋"/>
                <w:sz w:val="21"/>
                <w:szCs w:val="21"/>
              </w:rPr>
            </w:pPr>
          </w:p>
        </w:tc>
        <w:tc>
          <w:tcPr>
            <w:tcW w:w="2126" w:type="dxa"/>
            <w:tcBorders>
              <w:top w:val="nil"/>
              <w:left w:val="single" w:sz="4" w:space="0" w:color="auto"/>
              <w:bottom w:val="nil"/>
              <w:right w:val="single" w:sz="4" w:space="0" w:color="auto"/>
            </w:tcBorders>
            <w:vAlign w:val="center"/>
          </w:tcPr>
          <w:p w14:paraId="3C3EF4D4" w14:textId="77777777" w:rsidR="005F07D1" w:rsidRPr="00690CF5" w:rsidRDefault="005F07D1" w:rsidP="00530E79">
            <w:pPr>
              <w:ind w:firstLineChars="0" w:firstLine="0"/>
              <w:jc w:val="center"/>
              <w:rPr>
                <w:rFonts w:ascii="仿宋" w:eastAsia="仿宋" w:hAnsi="仿宋"/>
                <w:sz w:val="21"/>
                <w:szCs w:val="21"/>
              </w:rPr>
            </w:pPr>
          </w:p>
        </w:tc>
        <w:tc>
          <w:tcPr>
            <w:tcW w:w="2127" w:type="dxa"/>
            <w:tcBorders>
              <w:top w:val="nil"/>
              <w:left w:val="single" w:sz="4" w:space="0" w:color="auto"/>
              <w:bottom w:val="nil"/>
              <w:right w:val="single" w:sz="4" w:space="0" w:color="auto"/>
            </w:tcBorders>
            <w:vAlign w:val="center"/>
          </w:tcPr>
          <w:p w14:paraId="56434AA5" w14:textId="77777777" w:rsidR="005F07D1" w:rsidRPr="00690CF5" w:rsidRDefault="005F07D1" w:rsidP="00530E79">
            <w:pPr>
              <w:ind w:firstLineChars="0" w:firstLine="0"/>
              <w:jc w:val="center"/>
              <w:rPr>
                <w:rFonts w:ascii="仿宋" w:eastAsia="仿宋" w:hAnsi="仿宋"/>
                <w:sz w:val="21"/>
                <w:szCs w:val="21"/>
              </w:rPr>
            </w:pPr>
          </w:p>
        </w:tc>
        <w:tc>
          <w:tcPr>
            <w:tcW w:w="2268" w:type="dxa"/>
            <w:tcBorders>
              <w:top w:val="nil"/>
              <w:left w:val="single" w:sz="4" w:space="0" w:color="auto"/>
              <w:bottom w:val="nil"/>
              <w:right w:val="nil"/>
            </w:tcBorders>
            <w:vAlign w:val="center"/>
          </w:tcPr>
          <w:p w14:paraId="6E938FC7"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sz w:val="21"/>
                <w:szCs w:val="21"/>
              </w:rPr>
              <w:t>(0.0</w:t>
            </w:r>
            <w:r w:rsidRPr="00690CF5">
              <w:rPr>
                <w:rFonts w:ascii="仿宋" w:eastAsia="仿宋" w:hAnsi="仿宋" w:hint="eastAsia"/>
                <w:sz w:val="21"/>
                <w:szCs w:val="21"/>
              </w:rPr>
              <w:t>08</w:t>
            </w:r>
            <w:r w:rsidRPr="00690CF5">
              <w:rPr>
                <w:rFonts w:ascii="仿宋" w:eastAsia="仿宋" w:hAnsi="仿宋"/>
                <w:sz w:val="21"/>
                <w:szCs w:val="21"/>
              </w:rPr>
              <w:t>)</w:t>
            </w:r>
          </w:p>
        </w:tc>
      </w:tr>
      <w:tr w:rsidR="005F07D1" w:rsidRPr="00690CF5" w14:paraId="349555BF" w14:textId="77777777" w:rsidTr="00530E79">
        <w:trPr>
          <w:jc w:val="center"/>
        </w:trPr>
        <w:tc>
          <w:tcPr>
            <w:tcW w:w="1843" w:type="dxa"/>
            <w:tcBorders>
              <w:top w:val="nil"/>
              <w:left w:val="nil"/>
              <w:bottom w:val="nil"/>
              <w:right w:val="single" w:sz="4" w:space="0" w:color="auto"/>
            </w:tcBorders>
            <w:vAlign w:val="center"/>
          </w:tcPr>
          <w:p w14:paraId="473A370A"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控制变量</w:t>
            </w:r>
          </w:p>
        </w:tc>
        <w:tc>
          <w:tcPr>
            <w:tcW w:w="2126" w:type="dxa"/>
            <w:tcBorders>
              <w:top w:val="nil"/>
              <w:left w:val="single" w:sz="4" w:space="0" w:color="auto"/>
              <w:bottom w:val="nil"/>
              <w:right w:val="single" w:sz="4" w:space="0" w:color="auto"/>
            </w:tcBorders>
            <w:vAlign w:val="center"/>
          </w:tcPr>
          <w:p w14:paraId="1F5E5EBD"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127" w:type="dxa"/>
            <w:tcBorders>
              <w:top w:val="nil"/>
              <w:left w:val="single" w:sz="4" w:space="0" w:color="auto"/>
              <w:bottom w:val="nil"/>
              <w:right w:val="single" w:sz="4" w:space="0" w:color="auto"/>
            </w:tcBorders>
            <w:vAlign w:val="center"/>
          </w:tcPr>
          <w:p w14:paraId="026545EA"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c>
          <w:tcPr>
            <w:tcW w:w="2268" w:type="dxa"/>
            <w:tcBorders>
              <w:top w:val="nil"/>
              <w:left w:val="single" w:sz="4" w:space="0" w:color="auto"/>
              <w:bottom w:val="nil"/>
              <w:right w:val="nil"/>
            </w:tcBorders>
            <w:vAlign w:val="center"/>
          </w:tcPr>
          <w:p w14:paraId="0237DFE7"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控制</w:t>
            </w:r>
          </w:p>
        </w:tc>
      </w:tr>
      <w:tr w:rsidR="005F07D1" w:rsidRPr="00690CF5" w14:paraId="5845E09B" w14:textId="77777777" w:rsidTr="00530E79">
        <w:trPr>
          <w:jc w:val="center"/>
        </w:trPr>
        <w:tc>
          <w:tcPr>
            <w:tcW w:w="1843" w:type="dxa"/>
            <w:tcBorders>
              <w:top w:val="nil"/>
              <w:left w:val="nil"/>
              <w:bottom w:val="nil"/>
              <w:right w:val="single" w:sz="4" w:space="0" w:color="auto"/>
            </w:tcBorders>
            <w:vAlign w:val="center"/>
          </w:tcPr>
          <w:p w14:paraId="60074D08"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地区固定</w:t>
            </w:r>
          </w:p>
        </w:tc>
        <w:tc>
          <w:tcPr>
            <w:tcW w:w="2126" w:type="dxa"/>
            <w:tcBorders>
              <w:top w:val="nil"/>
              <w:left w:val="single" w:sz="4" w:space="0" w:color="auto"/>
              <w:bottom w:val="nil"/>
              <w:right w:val="single" w:sz="4" w:space="0" w:color="auto"/>
            </w:tcBorders>
            <w:vAlign w:val="center"/>
          </w:tcPr>
          <w:p w14:paraId="13231D80"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452F7910"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268" w:type="dxa"/>
            <w:tcBorders>
              <w:top w:val="nil"/>
              <w:left w:val="single" w:sz="4" w:space="0" w:color="auto"/>
              <w:bottom w:val="nil"/>
              <w:right w:val="nil"/>
            </w:tcBorders>
            <w:vAlign w:val="center"/>
          </w:tcPr>
          <w:p w14:paraId="4944322E"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4F5A1775" w14:textId="77777777" w:rsidTr="00530E79">
        <w:trPr>
          <w:jc w:val="center"/>
        </w:trPr>
        <w:tc>
          <w:tcPr>
            <w:tcW w:w="1843" w:type="dxa"/>
            <w:tcBorders>
              <w:top w:val="nil"/>
              <w:left w:val="nil"/>
              <w:bottom w:val="nil"/>
              <w:right w:val="single" w:sz="4" w:space="0" w:color="auto"/>
            </w:tcBorders>
            <w:vAlign w:val="center"/>
          </w:tcPr>
          <w:p w14:paraId="0BC6889B"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时间固定</w:t>
            </w:r>
          </w:p>
        </w:tc>
        <w:tc>
          <w:tcPr>
            <w:tcW w:w="2126" w:type="dxa"/>
            <w:tcBorders>
              <w:top w:val="nil"/>
              <w:left w:val="single" w:sz="4" w:space="0" w:color="auto"/>
              <w:bottom w:val="nil"/>
              <w:right w:val="single" w:sz="4" w:space="0" w:color="auto"/>
            </w:tcBorders>
            <w:vAlign w:val="center"/>
          </w:tcPr>
          <w:p w14:paraId="5A73642B"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127" w:type="dxa"/>
            <w:tcBorders>
              <w:top w:val="nil"/>
              <w:left w:val="single" w:sz="4" w:space="0" w:color="auto"/>
              <w:bottom w:val="nil"/>
              <w:right w:val="single" w:sz="4" w:space="0" w:color="auto"/>
            </w:tcBorders>
            <w:vAlign w:val="center"/>
          </w:tcPr>
          <w:p w14:paraId="17D6B8DD"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c>
          <w:tcPr>
            <w:tcW w:w="2268" w:type="dxa"/>
            <w:tcBorders>
              <w:top w:val="nil"/>
              <w:left w:val="single" w:sz="4" w:space="0" w:color="auto"/>
              <w:bottom w:val="nil"/>
              <w:right w:val="nil"/>
            </w:tcBorders>
            <w:vAlign w:val="center"/>
          </w:tcPr>
          <w:p w14:paraId="237EB7B3"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是</w:t>
            </w:r>
          </w:p>
        </w:tc>
      </w:tr>
      <w:tr w:rsidR="005F07D1" w:rsidRPr="00690CF5" w14:paraId="108588E4" w14:textId="77777777" w:rsidTr="00530E79">
        <w:trPr>
          <w:jc w:val="center"/>
        </w:trPr>
        <w:tc>
          <w:tcPr>
            <w:tcW w:w="1843" w:type="dxa"/>
            <w:tcBorders>
              <w:top w:val="nil"/>
              <w:left w:val="nil"/>
              <w:bottom w:val="single" w:sz="4" w:space="0" w:color="auto"/>
              <w:right w:val="single" w:sz="4" w:space="0" w:color="auto"/>
            </w:tcBorders>
            <w:vAlign w:val="center"/>
          </w:tcPr>
          <w:p w14:paraId="4E42BDA4"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观测值</w:t>
            </w:r>
          </w:p>
        </w:tc>
        <w:tc>
          <w:tcPr>
            <w:tcW w:w="2126" w:type="dxa"/>
            <w:tcBorders>
              <w:top w:val="nil"/>
              <w:left w:val="single" w:sz="4" w:space="0" w:color="auto"/>
              <w:bottom w:val="single" w:sz="4" w:space="0" w:color="auto"/>
              <w:right w:val="single" w:sz="4" w:space="0" w:color="auto"/>
            </w:tcBorders>
            <w:vAlign w:val="center"/>
          </w:tcPr>
          <w:p w14:paraId="71722A1F"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c>
          <w:tcPr>
            <w:tcW w:w="2127" w:type="dxa"/>
            <w:tcBorders>
              <w:top w:val="nil"/>
              <w:left w:val="single" w:sz="4" w:space="0" w:color="auto"/>
              <w:bottom w:val="single" w:sz="4" w:space="0" w:color="auto"/>
              <w:right w:val="single" w:sz="4" w:space="0" w:color="auto"/>
            </w:tcBorders>
            <w:vAlign w:val="center"/>
          </w:tcPr>
          <w:p w14:paraId="43C6D688"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c>
          <w:tcPr>
            <w:tcW w:w="2268" w:type="dxa"/>
            <w:tcBorders>
              <w:top w:val="nil"/>
              <w:left w:val="single" w:sz="4" w:space="0" w:color="auto"/>
              <w:bottom w:val="single" w:sz="4" w:space="0" w:color="auto"/>
              <w:right w:val="nil"/>
            </w:tcBorders>
            <w:vAlign w:val="center"/>
          </w:tcPr>
          <w:p w14:paraId="3E20EF35" w14:textId="77777777" w:rsidR="005F07D1" w:rsidRPr="00690CF5" w:rsidRDefault="00000000" w:rsidP="00530E79">
            <w:pPr>
              <w:ind w:firstLineChars="0" w:firstLine="0"/>
              <w:jc w:val="center"/>
              <w:rPr>
                <w:rFonts w:ascii="仿宋" w:eastAsia="仿宋" w:hAnsi="仿宋"/>
                <w:sz w:val="21"/>
                <w:szCs w:val="21"/>
              </w:rPr>
            </w:pPr>
            <w:r w:rsidRPr="00690CF5">
              <w:rPr>
                <w:rFonts w:ascii="仿宋" w:eastAsia="仿宋" w:hAnsi="仿宋" w:hint="eastAsia"/>
                <w:sz w:val="21"/>
                <w:szCs w:val="21"/>
              </w:rPr>
              <w:t>121</w:t>
            </w:r>
          </w:p>
        </w:tc>
      </w:tr>
    </w:tbl>
    <w:p w14:paraId="00B9972E" w14:textId="025ADAC3" w:rsidR="005F07D1" w:rsidRDefault="00000000" w:rsidP="00690CF5">
      <w:r>
        <w:rPr>
          <w:rFonts w:hint="eastAsia"/>
        </w:rPr>
        <w:t>通过对比表</w:t>
      </w:r>
      <w:r>
        <w:rPr>
          <w:rFonts w:hint="eastAsia"/>
        </w:rPr>
        <w:t xml:space="preserve"> </w:t>
      </w:r>
      <w:r>
        <w:rPr>
          <w:rFonts w:hint="eastAsia"/>
        </w:rPr>
        <w:t>的回归结果可得，系数</w:t>
      </w:r>
      <w:proofErr w:type="gramStart"/>
      <w:r>
        <w:rPr>
          <w:rFonts w:hint="eastAsia"/>
        </w:rPr>
        <w:t>回归值</w:t>
      </w:r>
      <w:proofErr w:type="gramEnd"/>
      <w:r>
        <w:rPr>
          <w:rFonts w:hint="eastAsia"/>
        </w:rPr>
        <w:t>的大小、符号以及显著性水平均没有显著差异，表明结果具有稳健性，即绿色金融对能源消费结构的优化与转型具有促进作用，且技术创新在这一过程中发挥着部分中介作用。</w:t>
      </w:r>
    </w:p>
    <w:p w14:paraId="6AE96313" w14:textId="1F59824D" w:rsidR="005F07D1" w:rsidRDefault="00690CF5" w:rsidP="00690CF5">
      <w:pPr>
        <w:pStyle w:val="1"/>
      </w:pPr>
      <w:r>
        <w:rPr>
          <w:rFonts w:hint="eastAsia"/>
        </w:rPr>
        <w:t>六、结论及政策建议</w:t>
      </w:r>
    </w:p>
    <w:p w14:paraId="091B4A5C" w14:textId="73B4FC29" w:rsidR="00690CF5" w:rsidRDefault="00690CF5" w:rsidP="00690CF5">
      <w:pPr>
        <w:pStyle w:val="2"/>
        <w:ind w:firstLine="482"/>
      </w:pPr>
      <w:r>
        <w:rPr>
          <w:rFonts w:hint="eastAsia"/>
        </w:rPr>
        <w:t>（一）结论</w:t>
      </w:r>
    </w:p>
    <w:p w14:paraId="168AC5EB" w14:textId="796DEC9D" w:rsidR="005F07D1" w:rsidRDefault="00690CF5" w:rsidP="00690CF5">
      <w:pPr>
        <w:pStyle w:val="3"/>
      </w:pPr>
      <w:r>
        <w:rPr>
          <w:rFonts w:hint="eastAsia"/>
        </w:rPr>
        <w:t>1</w:t>
      </w:r>
      <w:r>
        <w:t>.</w:t>
      </w:r>
      <w:r>
        <w:rPr>
          <w:rFonts w:hint="eastAsia"/>
        </w:rPr>
        <w:t>绿色金融通过创新和发展绿色金融工具推动能源消费结构的优化与转型升级</w:t>
      </w:r>
    </w:p>
    <w:p w14:paraId="64D78AAE" w14:textId="77777777" w:rsidR="005F07D1" w:rsidRDefault="00000000" w:rsidP="0045411C">
      <w:r>
        <w:rPr>
          <w:rFonts w:hint="eastAsia"/>
        </w:rPr>
        <w:t>通过创新和发展绿色金融工具，绿色金融为能源行业的转型提供了强有力的资金支持。这种支持不仅推动了清洁能源的发展，还促进了传统能源的转型升级。实证研究的结果进一步证实了绿色金融对能源结构的积极影响，每当绿色金融的发展水平提高</w:t>
      </w:r>
      <w:r>
        <w:t>1%</w:t>
      </w:r>
      <w:r>
        <w:t>，能源</w:t>
      </w:r>
      <w:r>
        <w:rPr>
          <w:rFonts w:hint="eastAsia"/>
        </w:rPr>
        <w:t>消费</w:t>
      </w:r>
      <w:r>
        <w:t>结构的优化水平就会相应地提高</w:t>
      </w:r>
      <w:r>
        <w:t>0.5%~</w:t>
      </w:r>
      <w:r>
        <w:rPr>
          <w:rFonts w:hint="eastAsia"/>
        </w:rPr>
        <w:t>0.6</w:t>
      </w:r>
      <w:r>
        <w:t>%</w:t>
      </w:r>
      <w:r>
        <w:t>。</w:t>
      </w:r>
      <w:r>
        <w:rPr>
          <w:rFonts w:hint="eastAsia"/>
          <w:color w:val="FF0000"/>
        </w:rPr>
        <w:t>（数据</w:t>
      </w:r>
      <w:proofErr w:type="gramStart"/>
      <w:r>
        <w:rPr>
          <w:rFonts w:hint="eastAsia"/>
          <w:color w:val="FF0000"/>
        </w:rPr>
        <w:t>瞎编需</w:t>
      </w:r>
      <w:proofErr w:type="gramEnd"/>
      <w:r>
        <w:rPr>
          <w:rFonts w:hint="eastAsia"/>
          <w:color w:val="FF0000"/>
        </w:rPr>
        <w:t>修改）</w:t>
      </w:r>
      <w:r>
        <w:t>这表明绿色金融在推动清洁能源发展、促进能源</w:t>
      </w:r>
      <w:r>
        <w:rPr>
          <w:rFonts w:hint="eastAsia"/>
        </w:rPr>
        <w:t>消费</w:t>
      </w:r>
      <w:r>
        <w:t>结构优化中起着重要作用。</w:t>
      </w:r>
    </w:p>
    <w:p w14:paraId="3BF02BE6" w14:textId="101C6EA9" w:rsidR="005F07D1" w:rsidRDefault="00690CF5" w:rsidP="00690CF5">
      <w:pPr>
        <w:pStyle w:val="3"/>
      </w:pPr>
      <w:r>
        <w:rPr>
          <w:rFonts w:hint="eastAsia"/>
        </w:rPr>
        <w:t>2</w:t>
      </w:r>
      <w:r>
        <w:t>.</w:t>
      </w:r>
      <w:r>
        <w:rPr>
          <w:rFonts w:hint="eastAsia"/>
        </w:rPr>
        <w:t>绿色金融通过促进技术溢出和产业转移为清洁能源和传统能源的转型升级提供动力</w:t>
      </w:r>
    </w:p>
    <w:p w14:paraId="07D0E59C" w14:textId="77777777" w:rsidR="005F07D1" w:rsidRDefault="00000000" w:rsidP="0045411C">
      <w:r>
        <w:rPr>
          <w:rFonts w:hint="eastAsia"/>
        </w:rPr>
        <w:t>绿色金融对能源结构优化与转型的影响存在空间溢出效应，这种影响不仅局限于本地，还会波及到周边地区和整个长江经济带。绿色金融通过促进技术溢出和产业转移等机制，为清洁能源产业的发展和传统能源的转型升级提供了动力。实证研究亦表明，绿色金融发展水平较高的地区，其周边地区和长江经济带其他地区的能源结构优化水平也会相应提高。</w:t>
      </w:r>
    </w:p>
    <w:p w14:paraId="740536FC" w14:textId="42ED279F" w:rsidR="005F07D1" w:rsidRDefault="00690CF5" w:rsidP="00690CF5">
      <w:pPr>
        <w:pStyle w:val="3"/>
      </w:pPr>
      <w:r>
        <w:rPr>
          <w:rFonts w:hint="eastAsia"/>
        </w:rPr>
        <w:t>3</w:t>
      </w:r>
      <w:r>
        <w:t>.</w:t>
      </w:r>
      <w:r>
        <w:rPr>
          <w:rFonts w:hint="eastAsia"/>
        </w:rPr>
        <w:t>绿色金融对能源结构优化与转型的影响存在显著的区域异质性，区域异质性主要受地区经济发展水平和资源禀赋影响</w:t>
      </w:r>
    </w:p>
    <w:p w14:paraId="071B4CEC" w14:textId="77777777" w:rsidR="005F07D1" w:rsidRDefault="00000000" w:rsidP="0045411C">
      <w:r>
        <w:rPr>
          <w:rFonts w:hint="eastAsia"/>
        </w:rPr>
        <w:t>绿色金融对能源结构优化与转型的影响存在显著的区域异质性特征。这种差</w:t>
      </w:r>
      <w:r>
        <w:rPr>
          <w:rFonts w:hint="eastAsia"/>
        </w:rPr>
        <w:lastRenderedPageBreak/>
        <w:t>异主要源于长江经济带中不同省份地区的地理条件、资源禀赋和经济发展水平存在明显差异。经济发展水平较高的东部地区，由于其金融市场发展较为成熟，绿色金融政策执行力度较强，因此绿色金融发展水平也相对较高，对能源结构优化的推动作用也相应较大。然而，中西部地区由于经济发展相对滞后，资源禀赋的限制，其绿色金融发展水平相对较低，对能源结构优化的作用也相对较小。</w:t>
      </w:r>
    </w:p>
    <w:p w14:paraId="3D62B873" w14:textId="05CA388A" w:rsidR="005F07D1" w:rsidRDefault="00690CF5" w:rsidP="00690CF5">
      <w:pPr>
        <w:pStyle w:val="3"/>
      </w:pPr>
      <w:r>
        <w:rPr>
          <w:rFonts w:hint="eastAsia"/>
        </w:rPr>
        <w:t>4</w:t>
      </w:r>
      <w:r>
        <w:t>.</w:t>
      </w:r>
      <w:r>
        <w:rPr>
          <w:rFonts w:hint="eastAsia"/>
        </w:rPr>
        <w:t>绿色金融通过促进技术创新进而影响能源消费结构优化与转型</w:t>
      </w:r>
    </w:p>
    <w:p w14:paraId="0F4AEEE5" w14:textId="77777777" w:rsidR="005F07D1" w:rsidRDefault="00000000" w:rsidP="0045411C">
      <w:r>
        <w:rPr>
          <w:rFonts w:hint="eastAsia"/>
        </w:rPr>
        <w:t>在绿色金融与能源消费结构优化及转型的关系中，技术创新起着重要的中介作用。绿色金融为清洁能源技术的研发和创新提供了资金支持，满足了新兴清洁能源技术研发过程中对大量资金的需求。绿色金融通过促进技术转让和交流，推动了清洁能源技术的创新和发展。此外，绿色金融还通过引导投资，推动了清洁能源产业的发展和传统能源的转型升级。</w:t>
      </w:r>
    </w:p>
    <w:p w14:paraId="48BB75DF" w14:textId="435498BE" w:rsidR="005F07D1" w:rsidRDefault="00690CF5" w:rsidP="00690CF5">
      <w:pPr>
        <w:pStyle w:val="2"/>
        <w:ind w:firstLine="482"/>
      </w:pPr>
      <w:r>
        <w:rPr>
          <w:rFonts w:hint="eastAsia"/>
        </w:rPr>
        <w:t>（二）政策建议：</w:t>
      </w:r>
    </w:p>
    <w:p w14:paraId="5AA5CC12" w14:textId="62C0FC4C" w:rsidR="005F07D1" w:rsidRDefault="00000000" w:rsidP="00690CF5">
      <w:pPr>
        <w:pStyle w:val="3"/>
      </w:pPr>
      <w:r>
        <w:t>1.</w:t>
      </w:r>
      <w:r>
        <w:t>强化绿色金融的推动作用，助力能源</w:t>
      </w:r>
      <w:r>
        <w:rPr>
          <w:rFonts w:hint="eastAsia"/>
        </w:rPr>
        <w:t>消费</w:t>
      </w:r>
      <w:r>
        <w:t>结构优化与转型升级</w:t>
      </w:r>
    </w:p>
    <w:p w14:paraId="2592A323" w14:textId="77777777" w:rsidR="005F07D1" w:rsidRDefault="00000000" w:rsidP="0045411C">
      <w:r>
        <w:rPr>
          <w:rFonts w:hint="eastAsia"/>
        </w:rPr>
        <w:t>为了促进清洁能源的发展和传统能源的转型升级，政府应加大对绿色金融的扶持力度。具体措施包括制定优惠政策和提供财政补贴，以激励金融机构积极参与绿色金融业务，并大力推动清洁能源项目的发展。同时，应鼓励金融机构创新绿色金融产品和服务方式，以满足各类清洁能源项目的独特融资需求。</w:t>
      </w:r>
    </w:p>
    <w:p w14:paraId="05892BF8" w14:textId="209BD298" w:rsidR="005F07D1" w:rsidRDefault="00000000" w:rsidP="00690CF5">
      <w:pPr>
        <w:pStyle w:val="3"/>
      </w:pPr>
      <w:r>
        <w:t>2.</w:t>
      </w:r>
      <w:r>
        <w:t>建立绿色金融跨区域协作机制，发挥空间溢出效应</w:t>
      </w:r>
    </w:p>
    <w:p w14:paraId="7A6869AF" w14:textId="77777777" w:rsidR="005F07D1" w:rsidRDefault="00000000" w:rsidP="0045411C">
      <w:r>
        <w:t>为了充分发挥绿色金融对能源结构优化的空间溢出效应，政府应建立跨区域的合作机制，加强长江经济带各地区之间的交流与合作。可以定期举办区域性绿色金融论坛或研讨会，分享成功经验和实践案例，探讨合作机会和挑战，促进信息共享和技术交流。</w:t>
      </w:r>
    </w:p>
    <w:p w14:paraId="12AB5F4E" w14:textId="14EAC2AD" w:rsidR="005F07D1" w:rsidRDefault="00000000" w:rsidP="00690CF5">
      <w:pPr>
        <w:pStyle w:val="3"/>
      </w:pPr>
      <w:r>
        <w:t>3.</w:t>
      </w:r>
      <w:r>
        <w:t>制定因地制宜的差异化政策，引导绿色金融支持能源结构优化</w:t>
      </w:r>
    </w:p>
    <w:p w14:paraId="5373E935" w14:textId="77777777" w:rsidR="005F07D1" w:rsidRDefault="00000000" w:rsidP="0045411C">
      <w:r>
        <w:t>针对不同地区的实际情况，政府应制定因地制宜的差异化政策，引导绿色金融支持当地清洁能源项目的发展和传统能源的转型升级。例如，对于资源禀赋优越的地区，可以重点支持其发展清洁能源产业；对于经济发展水平较高的地区，可以鼓励其探索创新绿色金融产品和服务方式等。</w:t>
      </w:r>
    </w:p>
    <w:p w14:paraId="20C68719" w14:textId="0D3B15D5" w:rsidR="005F07D1" w:rsidRDefault="00000000" w:rsidP="00690CF5">
      <w:pPr>
        <w:pStyle w:val="3"/>
      </w:pPr>
      <w:r>
        <w:t>4.</w:t>
      </w:r>
      <w:r>
        <w:t>加强绿色金融与</w:t>
      </w:r>
      <w:r>
        <w:rPr>
          <w:rFonts w:hint="eastAsia"/>
        </w:rPr>
        <w:t>技术</w:t>
      </w:r>
      <w:r>
        <w:t>创新的结合，提升能源</w:t>
      </w:r>
      <w:r>
        <w:rPr>
          <w:rFonts w:hint="eastAsia"/>
        </w:rPr>
        <w:t>消费</w:t>
      </w:r>
      <w:r>
        <w:t>结构优化与转型的技术水平</w:t>
      </w:r>
    </w:p>
    <w:p w14:paraId="7B3992AF" w14:textId="77777777" w:rsidR="005F07D1" w:rsidRDefault="00000000" w:rsidP="0045411C">
      <w:r>
        <w:t>政府应鼓励金融机构加大对清洁能源技术研发和创新的支持力度，通过提供长期低息贷款、担保等方式</w:t>
      </w:r>
      <w:r>
        <w:rPr>
          <w:rFonts w:hint="eastAsia"/>
        </w:rPr>
        <w:t>鼓励和</w:t>
      </w:r>
      <w:r>
        <w:t>支持相关企业</w:t>
      </w:r>
      <w:r>
        <w:rPr>
          <w:rFonts w:hint="eastAsia"/>
        </w:rPr>
        <w:t>与</w:t>
      </w:r>
      <w:r>
        <w:t>研究机构</w:t>
      </w:r>
      <w:r>
        <w:rPr>
          <w:rFonts w:hint="eastAsia"/>
        </w:rPr>
        <w:t>积极</w:t>
      </w:r>
      <w:r>
        <w:t>开展技术创新活动。同时，可以</w:t>
      </w:r>
      <w:r>
        <w:rPr>
          <w:rFonts w:hint="eastAsia"/>
        </w:rPr>
        <w:t>通过</w:t>
      </w:r>
      <w:r>
        <w:t>设立绿色技术</w:t>
      </w:r>
      <w:proofErr w:type="gramStart"/>
      <w:r>
        <w:t>研发专项</w:t>
      </w:r>
      <w:proofErr w:type="gramEnd"/>
      <w:r>
        <w:t>资金，支持绿色技术的研发和应用推广。此外，还可以加强国际合作与交流，提升我国能源</w:t>
      </w:r>
      <w:r>
        <w:rPr>
          <w:rFonts w:hint="eastAsia"/>
        </w:rPr>
        <w:t>消费</w:t>
      </w:r>
      <w:r>
        <w:t>结构优化与转型的技术水平。</w:t>
      </w:r>
    </w:p>
    <w:p w14:paraId="6ABD4426" w14:textId="77777777" w:rsidR="005F07D1" w:rsidRDefault="005F07D1" w:rsidP="0045411C"/>
    <w:sectPr w:rsidR="005F07D1" w:rsidSect="002A1333">
      <w:headerReference w:type="even" r:id="rId12"/>
      <w:headerReference w:type="default" r:id="rId13"/>
      <w:footerReference w:type="even" r:id="rId14"/>
      <w:footerReference w:type="default" r:id="rId15"/>
      <w:headerReference w:type="first" r:id="rId16"/>
      <w:footerReference w:type="first" r:id="rId17"/>
      <w:pgSz w:w="11906" w:h="16838" w:code="9"/>
      <w:pgMar w:top="1701" w:right="1701" w:bottom="1701" w:left="1701"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BFA4" w14:textId="77777777" w:rsidR="00C15E09" w:rsidRDefault="00C15E09" w:rsidP="00E35226">
      <w:pPr>
        <w:spacing w:line="240" w:lineRule="auto"/>
      </w:pPr>
      <w:r>
        <w:separator/>
      </w:r>
    </w:p>
  </w:endnote>
  <w:endnote w:type="continuationSeparator" w:id="0">
    <w:p w14:paraId="694EE0EB" w14:textId="77777777" w:rsidR="00C15E09" w:rsidRDefault="00C15E09" w:rsidP="00E35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D274" w14:textId="77777777" w:rsidR="00E35226" w:rsidRDefault="00E35226">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AF4E" w14:textId="77777777" w:rsidR="00E35226" w:rsidRDefault="00E35226">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0296" w14:textId="77777777" w:rsidR="00E35226" w:rsidRDefault="00E3522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29AF" w14:textId="77777777" w:rsidR="00C15E09" w:rsidRDefault="00C15E09" w:rsidP="00E35226">
      <w:pPr>
        <w:spacing w:line="240" w:lineRule="auto"/>
      </w:pPr>
      <w:r>
        <w:separator/>
      </w:r>
    </w:p>
  </w:footnote>
  <w:footnote w:type="continuationSeparator" w:id="0">
    <w:p w14:paraId="180CD169" w14:textId="77777777" w:rsidR="00C15E09" w:rsidRDefault="00C15E09" w:rsidP="00E352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D014" w14:textId="77777777" w:rsidR="00E35226" w:rsidRDefault="00E3522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B4A9" w14:textId="77777777" w:rsidR="00E35226" w:rsidRDefault="00E3522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0B75" w14:textId="77777777" w:rsidR="00E35226" w:rsidRDefault="00E3522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E759F7"/>
    <w:multiLevelType w:val="singleLevel"/>
    <w:tmpl w:val="5AEED168"/>
    <w:lvl w:ilvl="0">
      <w:start w:val="1"/>
      <w:numFmt w:val="chineseCounting"/>
      <w:suff w:val="nothing"/>
      <w:lvlText w:val="（%1）"/>
      <w:lvlJc w:val="left"/>
      <w:rPr>
        <w:rFonts w:hint="eastAsia"/>
        <w:lang w:val="en-US"/>
      </w:rPr>
    </w:lvl>
  </w:abstractNum>
  <w:abstractNum w:abstractNumId="1" w15:restartNumberingAfterBreak="0">
    <w:nsid w:val="DCF278F2"/>
    <w:multiLevelType w:val="singleLevel"/>
    <w:tmpl w:val="DCF278F2"/>
    <w:lvl w:ilvl="0">
      <w:start w:val="2"/>
      <w:numFmt w:val="chineseCounting"/>
      <w:suff w:val="nothing"/>
      <w:lvlText w:val="（%1）"/>
      <w:lvlJc w:val="left"/>
      <w:rPr>
        <w:rFonts w:hint="eastAsia"/>
      </w:rPr>
    </w:lvl>
  </w:abstractNum>
  <w:abstractNum w:abstractNumId="2" w15:restartNumberingAfterBreak="0">
    <w:nsid w:val="00E28BEE"/>
    <w:multiLevelType w:val="singleLevel"/>
    <w:tmpl w:val="00E28BEE"/>
    <w:lvl w:ilvl="0">
      <w:start w:val="1"/>
      <w:numFmt w:val="chineseCounting"/>
      <w:suff w:val="nothing"/>
      <w:lvlText w:val="（%1）"/>
      <w:lvlJc w:val="left"/>
      <w:rPr>
        <w:rFonts w:hint="eastAsia"/>
      </w:rPr>
    </w:lvl>
  </w:abstractNum>
  <w:abstractNum w:abstractNumId="3" w15:restartNumberingAfterBreak="0">
    <w:nsid w:val="0235553A"/>
    <w:multiLevelType w:val="hybridMultilevel"/>
    <w:tmpl w:val="4D5E624A"/>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C74BD1"/>
    <w:multiLevelType w:val="hybridMultilevel"/>
    <w:tmpl w:val="7D56CEA4"/>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3747836"/>
    <w:multiLevelType w:val="hybridMultilevel"/>
    <w:tmpl w:val="5996437C"/>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504CD4"/>
    <w:multiLevelType w:val="hybridMultilevel"/>
    <w:tmpl w:val="1F22DCF2"/>
    <w:lvl w:ilvl="0" w:tplc="1EE69E44">
      <w:start w:val="1"/>
      <w:numFmt w:val="decimal"/>
      <w:lvlText w:val="%1."/>
      <w:lvlJc w:val="left"/>
      <w:pPr>
        <w:ind w:left="180" w:hanging="1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9DC305E"/>
    <w:multiLevelType w:val="hybridMultilevel"/>
    <w:tmpl w:val="483A2BB4"/>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0933568"/>
    <w:multiLevelType w:val="multilevel"/>
    <w:tmpl w:val="30933568"/>
    <w:lvl w:ilvl="0">
      <w:start w:val="1"/>
      <w:numFmt w:val="decimal"/>
      <w:lvlText w:val="（%1）"/>
      <w:lvlJc w:val="left"/>
      <w:pPr>
        <w:ind w:left="720" w:hanging="72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332E2414"/>
    <w:multiLevelType w:val="hybridMultilevel"/>
    <w:tmpl w:val="BC9061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93608D9"/>
    <w:multiLevelType w:val="hybridMultilevel"/>
    <w:tmpl w:val="BA501E00"/>
    <w:lvl w:ilvl="0" w:tplc="1F8EFE92">
      <w:start w:val="3"/>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3EAA51C0"/>
    <w:multiLevelType w:val="hybridMultilevel"/>
    <w:tmpl w:val="66E84352"/>
    <w:lvl w:ilvl="0" w:tplc="81923A84">
      <w:start w:val="3"/>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4296350B"/>
    <w:multiLevelType w:val="hybridMultilevel"/>
    <w:tmpl w:val="70CCB7FE"/>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ACC2DF6"/>
    <w:multiLevelType w:val="hybridMultilevel"/>
    <w:tmpl w:val="EA2AF042"/>
    <w:lvl w:ilvl="0" w:tplc="7C089EC8">
      <w:start w:val="2"/>
      <w:numFmt w:val="japaneseCounting"/>
      <w:lvlText w:val="（%1）"/>
      <w:lvlJc w:val="left"/>
      <w:pPr>
        <w:ind w:left="1238" w:hanging="756"/>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4" w15:restartNumberingAfterBreak="0">
    <w:nsid w:val="621135E9"/>
    <w:multiLevelType w:val="singleLevel"/>
    <w:tmpl w:val="621135E9"/>
    <w:lvl w:ilvl="0">
      <w:start w:val="3"/>
      <w:numFmt w:val="chineseCounting"/>
      <w:suff w:val="nothing"/>
      <w:lvlText w:val="%1、"/>
      <w:lvlJc w:val="left"/>
      <w:rPr>
        <w:rFonts w:hint="eastAsia"/>
      </w:rPr>
    </w:lvl>
  </w:abstractNum>
  <w:abstractNum w:abstractNumId="15" w15:restartNumberingAfterBreak="0">
    <w:nsid w:val="62F0523D"/>
    <w:multiLevelType w:val="hybridMultilevel"/>
    <w:tmpl w:val="127EBCC6"/>
    <w:lvl w:ilvl="0" w:tplc="3FB2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4BA7383"/>
    <w:multiLevelType w:val="hybridMultilevel"/>
    <w:tmpl w:val="92DC91C4"/>
    <w:lvl w:ilvl="0" w:tplc="52086120">
      <w:start w:val="3"/>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6F293451"/>
    <w:multiLevelType w:val="hybridMultilevel"/>
    <w:tmpl w:val="F4FE7480"/>
    <w:lvl w:ilvl="0" w:tplc="5FC8D438">
      <w:start w:val="3"/>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173186962">
    <w:abstractNumId w:val="1"/>
  </w:num>
  <w:num w:numId="2" w16cid:durableId="1992562676">
    <w:abstractNumId w:val="14"/>
  </w:num>
  <w:num w:numId="3" w16cid:durableId="5728533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0204095">
    <w:abstractNumId w:val="0"/>
  </w:num>
  <w:num w:numId="5" w16cid:durableId="947659523">
    <w:abstractNumId w:val="2"/>
  </w:num>
  <w:num w:numId="6" w16cid:durableId="1676423178">
    <w:abstractNumId w:val="16"/>
  </w:num>
  <w:num w:numId="7" w16cid:durableId="1560242971">
    <w:abstractNumId w:val="17"/>
  </w:num>
  <w:num w:numId="8" w16cid:durableId="245842988">
    <w:abstractNumId w:val="10"/>
  </w:num>
  <w:num w:numId="9" w16cid:durableId="1277255180">
    <w:abstractNumId w:val="13"/>
  </w:num>
  <w:num w:numId="10" w16cid:durableId="820390088">
    <w:abstractNumId w:val="11"/>
  </w:num>
  <w:num w:numId="11" w16cid:durableId="1714039023">
    <w:abstractNumId w:val="6"/>
  </w:num>
  <w:num w:numId="12" w16cid:durableId="2089496483">
    <w:abstractNumId w:val="9"/>
  </w:num>
  <w:num w:numId="13" w16cid:durableId="160123916">
    <w:abstractNumId w:val="3"/>
  </w:num>
  <w:num w:numId="14" w16cid:durableId="1306160641">
    <w:abstractNumId w:val="15"/>
  </w:num>
  <w:num w:numId="15" w16cid:durableId="2100636660">
    <w:abstractNumId w:val="5"/>
  </w:num>
  <w:num w:numId="16" w16cid:durableId="109203320">
    <w:abstractNumId w:val="7"/>
  </w:num>
  <w:num w:numId="17" w16cid:durableId="2070031637">
    <w:abstractNumId w:val="4"/>
  </w:num>
  <w:num w:numId="18" w16cid:durableId="1529369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I2MTcxYzc5NmU2YzUzNWVkMTk4MDI1ZDI1OTM2YjQifQ=="/>
  </w:docVars>
  <w:rsids>
    <w:rsidRoot w:val="008042DD"/>
    <w:rsid w:val="00033B32"/>
    <w:rsid w:val="00085670"/>
    <w:rsid w:val="000C5E44"/>
    <w:rsid w:val="000E0CFB"/>
    <w:rsid w:val="000E7CAD"/>
    <w:rsid w:val="000E7F72"/>
    <w:rsid w:val="001310EC"/>
    <w:rsid w:val="00176AD5"/>
    <w:rsid w:val="001A3444"/>
    <w:rsid w:val="001D1E2F"/>
    <w:rsid w:val="001E45B3"/>
    <w:rsid w:val="001E4CBF"/>
    <w:rsid w:val="00223782"/>
    <w:rsid w:val="00247D6D"/>
    <w:rsid w:val="00293B34"/>
    <w:rsid w:val="002A1333"/>
    <w:rsid w:val="002A4457"/>
    <w:rsid w:val="002B6330"/>
    <w:rsid w:val="002C0C69"/>
    <w:rsid w:val="0031663B"/>
    <w:rsid w:val="0035527D"/>
    <w:rsid w:val="003B7F58"/>
    <w:rsid w:val="003F012B"/>
    <w:rsid w:val="004248EF"/>
    <w:rsid w:val="0045411C"/>
    <w:rsid w:val="004A1581"/>
    <w:rsid w:val="004A3E74"/>
    <w:rsid w:val="004B25B8"/>
    <w:rsid w:val="004D1ABA"/>
    <w:rsid w:val="004D66CA"/>
    <w:rsid w:val="004F0D9E"/>
    <w:rsid w:val="004F6954"/>
    <w:rsid w:val="00530E79"/>
    <w:rsid w:val="00542D6F"/>
    <w:rsid w:val="005C639C"/>
    <w:rsid w:val="005F07D1"/>
    <w:rsid w:val="0062648A"/>
    <w:rsid w:val="00630AB5"/>
    <w:rsid w:val="00643543"/>
    <w:rsid w:val="0065339C"/>
    <w:rsid w:val="00682804"/>
    <w:rsid w:val="00690CF5"/>
    <w:rsid w:val="006D2D35"/>
    <w:rsid w:val="00720C40"/>
    <w:rsid w:val="00730B71"/>
    <w:rsid w:val="00760256"/>
    <w:rsid w:val="00766D03"/>
    <w:rsid w:val="00795C9A"/>
    <w:rsid w:val="007A5F0E"/>
    <w:rsid w:val="007B0954"/>
    <w:rsid w:val="007B682C"/>
    <w:rsid w:val="008042DD"/>
    <w:rsid w:val="008328CC"/>
    <w:rsid w:val="00860191"/>
    <w:rsid w:val="00866FB8"/>
    <w:rsid w:val="008707C5"/>
    <w:rsid w:val="00885A59"/>
    <w:rsid w:val="00893127"/>
    <w:rsid w:val="008C0F5B"/>
    <w:rsid w:val="008F7DB7"/>
    <w:rsid w:val="009157A3"/>
    <w:rsid w:val="0092272E"/>
    <w:rsid w:val="00953E81"/>
    <w:rsid w:val="0097787C"/>
    <w:rsid w:val="009F3BE7"/>
    <w:rsid w:val="00A16951"/>
    <w:rsid w:val="00A32AEA"/>
    <w:rsid w:val="00A532CB"/>
    <w:rsid w:val="00A726BA"/>
    <w:rsid w:val="00AB601D"/>
    <w:rsid w:val="00AE3FBC"/>
    <w:rsid w:val="00AE7046"/>
    <w:rsid w:val="00AF53B8"/>
    <w:rsid w:val="00B01158"/>
    <w:rsid w:val="00B635B6"/>
    <w:rsid w:val="00B63B3A"/>
    <w:rsid w:val="00B67BC8"/>
    <w:rsid w:val="00B708B2"/>
    <w:rsid w:val="00B756EF"/>
    <w:rsid w:val="00B83ED6"/>
    <w:rsid w:val="00BB50E7"/>
    <w:rsid w:val="00BD7AD4"/>
    <w:rsid w:val="00BE6BC4"/>
    <w:rsid w:val="00C1357C"/>
    <w:rsid w:val="00C15E09"/>
    <w:rsid w:val="00C15E83"/>
    <w:rsid w:val="00C65393"/>
    <w:rsid w:val="00C7767B"/>
    <w:rsid w:val="00C876E0"/>
    <w:rsid w:val="00C93D4C"/>
    <w:rsid w:val="00CC3839"/>
    <w:rsid w:val="00CF3051"/>
    <w:rsid w:val="00D2356F"/>
    <w:rsid w:val="00D56A2A"/>
    <w:rsid w:val="00D64853"/>
    <w:rsid w:val="00DF5DDD"/>
    <w:rsid w:val="00E02335"/>
    <w:rsid w:val="00E35226"/>
    <w:rsid w:val="00E41E13"/>
    <w:rsid w:val="00EB5096"/>
    <w:rsid w:val="00EC14EC"/>
    <w:rsid w:val="00ED38DF"/>
    <w:rsid w:val="00F05CB3"/>
    <w:rsid w:val="00F061AB"/>
    <w:rsid w:val="00F11065"/>
    <w:rsid w:val="00F51745"/>
    <w:rsid w:val="00F8797D"/>
    <w:rsid w:val="00FA7951"/>
    <w:rsid w:val="00FD214C"/>
    <w:rsid w:val="07415132"/>
    <w:rsid w:val="09041432"/>
    <w:rsid w:val="346E5C64"/>
    <w:rsid w:val="35C54368"/>
    <w:rsid w:val="44A64BB5"/>
    <w:rsid w:val="45203ECD"/>
    <w:rsid w:val="48EB6820"/>
    <w:rsid w:val="4A427E85"/>
    <w:rsid w:val="4A74684C"/>
    <w:rsid w:val="53D52E3B"/>
    <w:rsid w:val="56245DFA"/>
    <w:rsid w:val="66E37C7D"/>
    <w:rsid w:val="68A21283"/>
    <w:rsid w:val="75E5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9225C"/>
  <w15:docId w15:val="{9EC307AD-BD98-4497-ADD1-233E71A5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45411C"/>
    <w:pPr>
      <w:widowControl w:val="0"/>
      <w:spacing w:line="300" w:lineRule="auto"/>
      <w:ind w:firstLineChars="200" w:firstLine="480"/>
      <w:jc w:val="both"/>
    </w:pPr>
    <w:rPr>
      <w:rFonts w:cstheme="minorBidi"/>
      <w:kern w:val="2"/>
      <w:sz w:val="24"/>
      <w:szCs w:val="22"/>
    </w:rPr>
  </w:style>
  <w:style w:type="paragraph" w:styleId="1">
    <w:name w:val="heading 1"/>
    <w:next w:val="a"/>
    <w:uiPriority w:val="9"/>
    <w:qFormat/>
    <w:rsid w:val="00BE6BC4"/>
    <w:pPr>
      <w:keepNext/>
      <w:keepLines/>
      <w:spacing w:line="300" w:lineRule="auto"/>
      <w:jc w:val="center"/>
      <w:outlineLvl w:val="0"/>
    </w:pPr>
    <w:rPr>
      <w:rFonts w:asciiTheme="minorHAnsi" w:hAnsiTheme="minorHAnsi" w:cstheme="minorBidi"/>
      <w:b/>
      <w:bCs/>
      <w:kern w:val="44"/>
      <w:sz w:val="28"/>
      <w:szCs w:val="44"/>
    </w:rPr>
  </w:style>
  <w:style w:type="paragraph" w:styleId="2">
    <w:name w:val="heading 2"/>
    <w:basedOn w:val="a"/>
    <w:next w:val="a"/>
    <w:link w:val="20"/>
    <w:uiPriority w:val="9"/>
    <w:unhideWhenUsed/>
    <w:qFormat/>
    <w:rsid w:val="005C639C"/>
    <w:pPr>
      <w:keepNext/>
      <w:keepLines/>
      <w:ind w:firstLine="200"/>
      <w:jc w:val="left"/>
      <w:outlineLvl w:val="1"/>
    </w:pPr>
    <w:rPr>
      <w:rFonts w:asciiTheme="majorHAnsi" w:eastAsia="楷体" w:hAnsiTheme="majorHAnsi" w:cstheme="majorBidi"/>
      <w:b/>
      <w:bCs/>
      <w:szCs w:val="32"/>
    </w:rPr>
  </w:style>
  <w:style w:type="paragraph" w:styleId="3">
    <w:name w:val="heading 3"/>
    <w:basedOn w:val="a"/>
    <w:next w:val="a"/>
    <w:link w:val="30"/>
    <w:uiPriority w:val="9"/>
    <w:unhideWhenUsed/>
    <w:qFormat/>
    <w:rsid w:val="0092272E"/>
    <w:pPr>
      <w:keepNext/>
      <w:keepLines/>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table" w:styleId="a7">
    <w:name w:val="Table Grid"/>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paragraph" w:styleId="a8">
    <w:name w:val="List Paragraph"/>
    <w:basedOn w:val="a"/>
    <w:uiPriority w:val="99"/>
    <w:unhideWhenUsed/>
    <w:rsid w:val="005C639C"/>
    <w:pPr>
      <w:ind w:firstLine="420"/>
    </w:pPr>
  </w:style>
  <w:style w:type="character" w:customStyle="1" w:styleId="20">
    <w:name w:val="标题 2 字符"/>
    <w:basedOn w:val="a0"/>
    <w:link w:val="2"/>
    <w:uiPriority w:val="9"/>
    <w:rsid w:val="005C639C"/>
    <w:rPr>
      <w:rFonts w:asciiTheme="majorHAnsi" w:eastAsia="楷体" w:hAnsiTheme="majorHAnsi" w:cstheme="majorBidi"/>
      <w:b/>
      <w:bCs/>
      <w:kern w:val="2"/>
      <w:sz w:val="24"/>
      <w:szCs w:val="32"/>
    </w:rPr>
  </w:style>
  <w:style w:type="character" w:customStyle="1" w:styleId="30">
    <w:name w:val="标题 3 字符"/>
    <w:basedOn w:val="a0"/>
    <w:link w:val="3"/>
    <w:uiPriority w:val="9"/>
    <w:rsid w:val="0092272E"/>
    <w:rPr>
      <w:rFonts w:cstheme="minorBidi"/>
      <w:bCs/>
      <w:kern w:val="2"/>
      <w:sz w:val="24"/>
      <w:szCs w:val="32"/>
    </w:rPr>
  </w:style>
  <w:style w:type="character" w:styleId="a9">
    <w:name w:val="Placeholder Text"/>
    <w:basedOn w:val="a0"/>
    <w:uiPriority w:val="99"/>
    <w:unhideWhenUsed/>
    <w:rsid w:val="00D2356F"/>
    <w:rPr>
      <w:color w:val="666666"/>
    </w:rPr>
  </w:style>
  <w:style w:type="character" w:styleId="aa">
    <w:name w:val="annotation reference"/>
    <w:basedOn w:val="a0"/>
    <w:uiPriority w:val="99"/>
    <w:semiHidden/>
    <w:unhideWhenUsed/>
    <w:rsid w:val="00AE3FBC"/>
    <w:rPr>
      <w:sz w:val="21"/>
      <w:szCs w:val="21"/>
    </w:rPr>
  </w:style>
  <w:style w:type="paragraph" w:styleId="ab">
    <w:name w:val="annotation text"/>
    <w:basedOn w:val="a"/>
    <w:link w:val="ac"/>
    <w:uiPriority w:val="99"/>
    <w:unhideWhenUsed/>
    <w:rsid w:val="00AE3FBC"/>
    <w:pPr>
      <w:jc w:val="left"/>
    </w:pPr>
  </w:style>
  <w:style w:type="character" w:customStyle="1" w:styleId="ac">
    <w:name w:val="批注文字 字符"/>
    <w:basedOn w:val="a0"/>
    <w:link w:val="ab"/>
    <w:uiPriority w:val="99"/>
    <w:rsid w:val="00AE3FBC"/>
    <w:rPr>
      <w:rFonts w:cstheme="minorBidi"/>
      <w:kern w:val="2"/>
      <w:sz w:val="24"/>
      <w:szCs w:val="22"/>
    </w:rPr>
  </w:style>
  <w:style w:type="paragraph" w:styleId="ad">
    <w:name w:val="annotation subject"/>
    <w:basedOn w:val="ab"/>
    <w:next w:val="ab"/>
    <w:link w:val="ae"/>
    <w:uiPriority w:val="99"/>
    <w:semiHidden/>
    <w:unhideWhenUsed/>
    <w:rsid w:val="00AE3FBC"/>
    <w:rPr>
      <w:b/>
      <w:bCs/>
    </w:rPr>
  </w:style>
  <w:style w:type="character" w:customStyle="1" w:styleId="ae">
    <w:name w:val="批注主题 字符"/>
    <w:basedOn w:val="ac"/>
    <w:link w:val="ad"/>
    <w:uiPriority w:val="99"/>
    <w:semiHidden/>
    <w:rsid w:val="00AE3FBC"/>
    <w:rPr>
      <w:rFonts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878246923331108"/>
          <c:y val="3.7494679719089166E-2"/>
          <c:w val="0.79270787159793354"/>
          <c:h val="0.72586188550755504"/>
        </c:manualLayout>
      </c:layout>
      <c:lineChart>
        <c:grouping val="standard"/>
        <c:varyColors val="0"/>
        <c:ser>
          <c:idx val="0"/>
          <c:order val="0"/>
          <c:tx>
            <c:strRef>
              <c:f>Sheet1!$B$1</c:f>
              <c:strCache>
                <c:ptCount val="1"/>
                <c:pt idx="0">
                  <c:v>上游地区</c:v>
                </c:pt>
              </c:strCache>
            </c:strRef>
          </c:tx>
          <c:spPr>
            <a:ln w="9525" cap="rnd">
              <a:solidFill>
                <a:srgbClr val="4874CB"/>
              </a:solidFill>
              <a:round/>
            </a:ln>
            <a:effectLst/>
          </c:spPr>
          <c:marker>
            <c:symbol val="triangle"/>
            <c:size val="2"/>
            <c:spPr>
              <a:solidFill>
                <a:srgbClr val="4874CB"/>
              </a:solidFill>
              <a:ln w="9525">
                <a:solidFill>
                  <a:srgbClr val="4874CB"/>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0.27681337492450298</c:v>
                </c:pt>
                <c:pt idx="1">
                  <c:v>0.27102119403182801</c:v>
                </c:pt>
                <c:pt idx="2">
                  <c:v>0.251452219534615</c:v>
                </c:pt>
                <c:pt idx="3">
                  <c:v>0.229369914407998</c:v>
                </c:pt>
                <c:pt idx="4">
                  <c:v>0.24947707166165101</c:v>
                </c:pt>
                <c:pt idx="5">
                  <c:v>0.232263814368703</c:v>
                </c:pt>
                <c:pt idx="6">
                  <c:v>0.22724922880540999</c:v>
                </c:pt>
                <c:pt idx="7">
                  <c:v>0.42501579652059102</c:v>
                </c:pt>
                <c:pt idx="8">
                  <c:v>0.391937577689765</c:v>
                </c:pt>
                <c:pt idx="9">
                  <c:v>0.375588345302447</c:v>
                </c:pt>
                <c:pt idx="10">
                  <c:v>0.36443095048197199</c:v>
                </c:pt>
              </c:numCache>
            </c:numRef>
          </c:val>
          <c:smooth val="0"/>
          <c:extLst>
            <c:ext xmlns:c16="http://schemas.microsoft.com/office/drawing/2014/chart" uri="{C3380CC4-5D6E-409C-BE32-E72D297353CC}">
              <c16:uniqueId val="{00000000-7D01-48DA-80C0-9A1E97BDFF55}"/>
            </c:ext>
          </c:extLst>
        </c:ser>
        <c:ser>
          <c:idx val="1"/>
          <c:order val="1"/>
          <c:tx>
            <c:strRef>
              <c:f>Sheet1!$C$1</c:f>
              <c:strCache>
                <c:ptCount val="1"/>
                <c:pt idx="0">
                  <c:v>中游地区</c:v>
                </c:pt>
              </c:strCache>
            </c:strRef>
          </c:tx>
          <c:spPr>
            <a:ln w="9525" cap="rnd">
              <a:solidFill>
                <a:srgbClr val="EE822F"/>
              </a:solidFill>
              <a:round/>
            </a:ln>
            <a:effectLst/>
          </c:spPr>
          <c:marker>
            <c:symbol val="diamond"/>
            <c:size val="2"/>
            <c:spPr>
              <a:solidFill>
                <a:srgbClr val="EE822F"/>
              </a:solidFill>
              <a:ln w="9525">
                <a:solidFill>
                  <a:srgbClr val="EE822F"/>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0.20093490638415501</c:v>
                </c:pt>
                <c:pt idx="1">
                  <c:v>0.19420445156485</c:v>
                </c:pt>
                <c:pt idx="2">
                  <c:v>0.20221155334691601</c:v>
                </c:pt>
                <c:pt idx="3">
                  <c:v>0.21065603689297799</c:v>
                </c:pt>
                <c:pt idx="4">
                  <c:v>0.20046401387809201</c:v>
                </c:pt>
                <c:pt idx="5">
                  <c:v>0.20244591947413501</c:v>
                </c:pt>
                <c:pt idx="6">
                  <c:v>0.236186074965089</c:v>
                </c:pt>
                <c:pt idx="7">
                  <c:v>0.23387481988025099</c:v>
                </c:pt>
                <c:pt idx="8">
                  <c:v>0.22312733275197499</c:v>
                </c:pt>
                <c:pt idx="9">
                  <c:v>0.27653142067733399</c:v>
                </c:pt>
                <c:pt idx="10">
                  <c:v>0.27803977985352102</c:v>
                </c:pt>
              </c:numCache>
            </c:numRef>
          </c:val>
          <c:smooth val="0"/>
          <c:extLst>
            <c:ext xmlns:c16="http://schemas.microsoft.com/office/drawing/2014/chart" uri="{C3380CC4-5D6E-409C-BE32-E72D297353CC}">
              <c16:uniqueId val="{00000001-7D01-48DA-80C0-9A1E97BDFF55}"/>
            </c:ext>
          </c:extLst>
        </c:ser>
        <c:ser>
          <c:idx val="2"/>
          <c:order val="2"/>
          <c:tx>
            <c:strRef>
              <c:f>Sheet1!$D$1</c:f>
              <c:strCache>
                <c:ptCount val="1"/>
                <c:pt idx="0">
                  <c:v>下游地区</c:v>
                </c:pt>
              </c:strCache>
            </c:strRef>
          </c:tx>
          <c:spPr>
            <a:ln w="9525" cap="rnd">
              <a:solidFill>
                <a:srgbClr val="F2BA02"/>
              </a:solidFill>
              <a:round/>
            </a:ln>
            <a:effectLst/>
          </c:spPr>
          <c:marker>
            <c:symbol val="x"/>
            <c:size val="2"/>
            <c:spPr>
              <a:noFill/>
              <a:ln w="9525">
                <a:solidFill>
                  <a:srgbClr val="F2BA0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0.16223018429581501</c:v>
                </c:pt>
                <c:pt idx="1">
                  <c:v>0.18795491564757999</c:v>
                </c:pt>
                <c:pt idx="2">
                  <c:v>0.18500623452567899</c:v>
                </c:pt>
                <c:pt idx="3">
                  <c:v>0.198142810504087</c:v>
                </c:pt>
                <c:pt idx="4">
                  <c:v>0.20470786928267301</c:v>
                </c:pt>
                <c:pt idx="5">
                  <c:v>0.22204226692937901</c:v>
                </c:pt>
                <c:pt idx="6">
                  <c:v>0.21364759051596699</c:v>
                </c:pt>
                <c:pt idx="7">
                  <c:v>0.23170061151837801</c:v>
                </c:pt>
                <c:pt idx="8">
                  <c:v>0.23482188284746799</c:v>
                </c:pt>
                <c:pt idx="9">
                  <c:v>0.237594559915658</c:v>
                </c:pt>
                <c:pt idx="10">
                  <c:v>0.25436897769522498</c:v>
                </c:pt>
              </c:numCache>
            </c:numRef>
          </c:val>
          <c:smooth val="0"/>
          <c:extLst>
            <c:ext xmlns:c16="http://schemas.microsoft.com/office/drawing/2014/chart" uri="{C3380CC4-5D6E-409C-BE32-E72D297353CC}">
              <c16:uniqueId val="{00000002-7D01-48DA-80C0-9A1E97BDFF55}"/>
            </c:ext>
          </c:extLst>
        </c:ser>
        <c:dLbls>
          <c:showLegendKey val="0"/>
          <c:showVal val="0"/>
          <c:showCatName val="0"/>
          <c:showSerName val="0"/>
          <c:showPercent val="0"/>
          <c:showBubbleSize val="0"/>
        </c:dLbls>
        <c:marker val="1"/>
        <c:smooth val="0"/>
        <c:axId val="723638816"/>
        <c:axId val="723639176"/>
      </c:lineChart>
      <c:catAx>
        <c:axId val="723638816"/>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7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723639176"/>
        <c:crosses val="autoZero"/>
        <c:auto val="1"/>
        <c:lblAlgn val="ctr"/>
        <c:lblOffset val="100"/>
        <c:noMultiLvlLbl val="0"/>
      </c:catAx>
      <c:valAx>
        <c:axId val="723639176"/>
        <c:scaling>
          <c:orientation val="minMax"/>
          <c:max val="0.45"/>
          <c:min val="0.15"/>
        </c:scaling>
        <c:delete val="0"/>
        <c:axPos val="l"/>
        <c:majorGridlines>
          <c:spPr>
            <a:ln w="9525" cap="flat" cmpd="sng" algn="ctr">
              <a:noFill/>
              <a:round/>
            </a:ln>
            <a:effectLst/>
          </c:spPr>
        </c:majorGridlines>
        <c:numFmt formatCode="#,##0.00_);[Red]\(#,##0.00\)" sourceLinked="0"/>
        <c:majorTickMark val="none"/>
        <c:minorTickMark val="none"/>
        <c:tickLblPos val="nextTo"/>
        <c:spPr>
          <a:noFill/>
          <a:ln>
            <a:noFill/>
          </a:ln>
          <a:effectLst/>
        </c:spPr>
        <c:txPr>
          <a:bodyPr rot="-60000000" spcFirstLastPara="1" vertOverflow="ellipsis" vert="horz" wrap="square" anchor="ctr" anchorCtr="0"/>
          <a:lstStyle/>
          <a:p>
            <a:pPr>
              <a:defRPr lang="zh-CN" sz="7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723638816"/>
        <c:crosses val="autoZero"/>
        <c:crossBetween val="between"/>
        <c:majorUnit val="4.0000000000000008E-2"/>
        <c:minorUnit val="2.0000000000000004E-2"/>
      </c:valAx>
      <c:spPr>
        <a:noFill/>
        <a:ln>
          <a:noFill/>
        </a:ln>
        <a:effectLst/>
      </c:spPr>
    </c:plotArea>
    <c:legend>
      <c:legendPos val="b"/>
      <c:layout>
        <c:manualLayout>
          <c:xMode val="edge"/>
          <c:yMode val="edge"/>
          <c:x val="9.1115461942932102E-2"/>
          <c:y val="0.84967457615095399"/>
          <c:w val="0.81776880363452797"/>
          <c:h val="0.12580225466086101"/>
        </c:manualLayout>
      </c:layout>
      <c:overlay val="0"/>
      <c:spPr>
        <a:noFill/>
        <a:ln>
          <a:noFill/>
        </a:ln>
        <a:effectLst/>
      </c:spPr>
      <c:txPr>
        <a:bodyPr rot="0" spcFirstLastPara="1" vertOverflow="ellipsis" vert="horz" wrap="square" anchor="ctr" anchorCtr="1"/>
        <a:lstStyle/>
        <a:p>
          <a:pPr>
            <a:defRPr lang="zh-CN" sz="7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1544426236061"/>
          <c:y val="2.6566750957696901E-2"/>
          <c:w val="0.84261801031216299"/>
          <c:h val="0.71173565116987703"/>
        </c:manualLayout>
      </c:layout>
      <c:lineChart>
        <c:grouping val="standard"/>
        <c:varyColors val="0"/>
        <c:ser>
          <c:idx val="0"/>
          <c:order val="0"/>
          <c:tx>
            <c:strRef>
              <c:f>Sheet1!$B$1</c:f>
              <c:strCache>
                <c:ptCount val="1"/>
                <c:pt idx="0">
                  <c:v>重庆市</c:v>
                </c:pt>
              </c:strCache>
            </c:strRef>
          </c:tx>
          <c:spPr>
            <a:ln w="9525" cap="rnd">
              <a:solidFill>
                <a:srgbClr val="4874CB"/>
              </a:solidFill>
              <a:round/>
            </a:ln>
            <a:effectLst/>
          </c:spPr>
          <c:marker>
            <c:symbol val="x"/>
            <c:size val="2"/>
            <c:spPr>
              <a:noFill/>
              <a:ln w="9525">
                <a:solidFill>
                  <a:srgbClr val="4874CB"/>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8.4499690470292904E-2</c:v>
                </c:pt>
                <c:pt idx="1">
                  <c:v>9.2518313678275801E-2</c:v>
                </c:pt>
                <c:pt idx="2">
                  <c:v>7.8462924066192999E-2</c:v>
                </c:pt>
                <c:pt idx="3">
                  <c:v>8.3782406041794905E-2</c:v>
                </c:pt>
                <c:pt idx="4">
                  <c:v>7.5038725315485499E-2</c:v>
                </c:pt>
                <c:pt idx="5">
                  <c:v>6.8674579826917506E-2</c:v>
                </c:pt>
                <c:pt idx="6">
                  <c:v>6.65469370789665E-2</c:v>
                </c:pt>
                <c:pt idx="7">
                  <c:v>6.3690738791797097E-2</c:v>
                </c:pt>
                <c:pt idx="8">
                  <c:v>4.8526142571371299E-2</c:v>
                </c:pt>
                <c:pt idx="9">
                  <c:v>6.3562264224755402E-2</c:v>
                </c:pt>
                <c:pt idx="10">
                  <c:v>7.3114415338583802E-2</c:v>
                </c:pt>
              </c:numCache>
            </c:numRef>
          </c:val>
          <c:smooth val="0"/>
          <c:extLst>
            <c:ext xmlns:c16="http://schemas.microsoft.com/office/drawing/2014/chart" uri="{C3380CC4-5D6E-409C-BE32-E72D297353CC}">
              <c16:uniqueId val="{00000000-4666-4E29-87CD-3156231F4CF6}"/>
            </c:ext>
          </c:extLst>
        </c:ser>
        <c:ser>
          <c:idx val="1"/>
          <c:order val="1"/>
          <c:tx>
            <c:strRef>
              <c:f>Sheet1!$C$1</c:f>
              <c:strCache>
                <c:ptCount val="1"/>
                <c:pt idx="0">
                  <c:v>四川省</c:v>
                </c:pt>
              </c:strCache>
            </c:strRef>
          </c:tx>
          <c:spPr>
            <a:ln w="9525" cap="rnd">
              <a:solidFill>
                <a:srgbClr val="EE822F"/>
              </a:solidFill>
              <a:round/>
            </a:ln>
            <a:effectLst/>
          </c:spPr>
          <c:marker>
            <c:symbol val="dash"/>
            <c:size val="2"/>
            <c:spPr>
              <a:solidFill>
                <a:srgbClr val="EE822F"/>
              </a:solidFill>
              <a:ln w="9525">
                <a:solidFill>
                  <a:srgbClr val="EE822F"/>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5.4146080029577999E-2</c:v>
                </c:pt>
                <c:pt idx="1">
                  <c:v>5.6376026464243098E-2</c:v>
                </c:pt>
                <c:pt idx="2">
                  <c:v>6.0780674162777999E-2</c:v>
                </c:pt>
                <c:pt idx="3">
                  <c:v>6.7179259138475195E-2</c:v>
                </c:pt>
                <c:pt idx="4">
                  <c:v>5.4278065815804702E-2</c:v>
                </c:pt>
                <c:pt idx="5">
                  <c:v>5.7353382979048899E-2</c:v>
                </c:pt>
                <c:pt idx="6">
                  <c:v>5.6253611856008398E-2</c:v>
                </c:pt>
                <c:pt idx="7">
                  <c:v>5.9344415973577001E-2</c:v>
                </c:pt>
                <c:pt idx="8">
                  <c:v>6.1164872553564398E-2</c:v>
                </c:pt>
                <c:pt idx="9">
                  <c:v>5.8720808442446301E-2</c:v>
                </c:pt>
                <c:pt idx="10">
                  <c:v>5.9323914614176902E-2</c:v>
                </c:pt>
              </c:numCache>
            </c:numRef>
          </c:val>
          <c:smooth val="0"/>
          <c:extLst>
            <c:ext xmlns:c16="http://schemas.microsoft.com/office/drawing/2014/chart" uri="{C3380CC4-5D6E-409C-BE32-E72D297353CC}">
              <c16:uniqueId val="{00000001-4666-4E29-87CD-3156231F4CF6}"/>
            </c:ext>
          </c:extLst>
        </c:ser>
        <c:ser>
          <c:idx val="2"/>
          <c:order val="2"/>
          <c:tx>
            <c:strRef>
              <c:f>Sheet1!$D$1</c:f>
              <c:strCache>
                <c:ptCount val="1"/>
                <c:pt idx="0">
                  <c:v>贵州省</c:v>
                </c:pt>
              </c:strCache>
            </c:strRef>
          </c:tx>
          <c:spPr>
            <a:ln w="9525" cap="rnd">
              <a:solidFill>
                <a:srgbClr val="F2BA02"/>
              </a:solidFill>
              <a:round/>
            </a:ln>
            <a:effectLst/>
          </c:spPr>
          <c:marker>
            <c:symbol val="triangle"/>
            <c:size val="2"/>
            <c:spPr>
              <a:solidFill>
                <a:srgbClr val="F2BA02"/>
              </a:solidFill>
              <a:ln w="9525">
                <a:solidFill>
                  <a:srgbClr val="F2BA0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0.10323421338484801</c:v>
                </c:pt>
                <c:pt idx="1">
                  <c:v>8.0947759476004494E-2</c:v>
                </c:pt>
                <c:pt idx="2">
                  <c:v>7.1744148772256294E-2</c:v>
                </c:pt>
                <c:pt idx="3">
                  <c:v>2.8811077081680601E-2</c:v>
                </c:pt>
                <c:pt idx="4">
                  <c:v>7.2876023740953894E-2</c:v>
                </c:pt>
                <c:pt idx="5">
                  <c:v>6.6524809055253598E-2</c:v>
                </c:pt>
                <c:pt idx="6">
                  <c:v>6.2485522836348402E-2</c:v>
                </c:pt>
                <c:pt idx="7">
                  <c:v>5.75016091594137E-2</c:v>
                </c:pt>
                <c:pt idx="8">
                  <c:v>5.5809839794799802E-2</c:v>
                </c:pt>
                <c:pt idx="9">
                  <c:v>5.4988859534698599E-2</c:v>
                </c:pt>
                <c:pt idx="10">
                  <c:v>5.81105963814302E-2</c:v>
                </c:pt>
              </c:numCache>
            </c:numRef>
          </c:val>
          <c:smooth val="0"/>
          <c:extLst>
            <c:ext xmlns:c16="http://schemas.microsoft.com/office/drawing/2014/chart" uri="{C3380CC4-5D6E-409C-BE32-E72D297353CC}">
              <c16:uniqueId val="{00000002-4666-4E29-87CD-3156231F4CF6}"/>
            </c:ext>
          </c:extLst>
        </c:ser>
        <c:ser>
          <c:idx val="3"/>
          <c:order val="3"/>
          <c:tx>
            <c:strRef>
              <c:f>Sheet1!$E$1</c:f>
              <c:strCache>
                <c:ptCount val="1"/>
                <c:pt idx="0">
                  <c:v>云南省</c:v>
                </c:pt>
              </c:strCache>
            </c:strRef>
          </c:tx>
          <c:spPr>
            <a:ln w="9525" cap="rnd">
              <a:solidFill>
                <a:srgbClr val="75BD42"/>
              </a:solidFill>
              <a:round/>
            </a:ln>
            <a:effectLst/>
          </c:spPr>
          <c:marker>
            <c:symbol val="circle"/>
            <c:size val="2"/>
            <c:spPr>
              <a:solidFill>
                <a:srgbClr val="75BD42"/>
              </a:solidFill>
              <a:ln w="9525">
                <a:solidFill>
                  <a:srgbClr val="75BD4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Sheet1!$E$2:$E$12</c:f>
              <c:numCache>
                <c:formatCode>General</c:formatCode>
                <c:ptCount val="11"/>
                <c:pt idx="0">
                  <c:v>3.4933391039783698E-2</c:v>
                </c:pt>
                <c:pt idx="1">
                  <c:v>4.1179094413304702E-2</c:v>
                </c:pt>
                <c:pt idx="2">
                  <c:v>4.0464472533387599E-2</c:v>
                </c:pt>
                <c:pt idx="3">
                  <c:v>4.9597172146046802E-2</c:v>
                </c:pt>
                <c:pt idx="4">
                  <c:v>4.7284256789406398E-2</c:v>
                </c:pt>
                <c:pt idx="5">
                  <c:v>3.9711042507483502E-2</c:v>
                </c:pt>
                <c:pt idx="6">
                  <c:v>4.1963157034086401E-2</c:v>
                </c:pt>
                <c:pt idx="7">
                  <c:v>0.244479032595803</c:v>
                </c:pt>
                <c:pt idx="8">
                  <c:v>0.22643672277002899</c:v>
                </c:pt>
                <c:pt idx="9">
                  <c:v>0.19831641310054701</c:v>
                </c:pt>
                <c:pt idx="10">
                  <c:v>0.17388202414778101</c:v>
                </c:pt>
              </c:numCache>
            </c:numRef>
          </c:val>
          <c:smooth val="0"/>
          <c:extLst>
            <c:ext xmlns:c16="http://schemas.microsoft.com/office/drawing/2014/chart" uri="{C3380CC4-5D6E-409C-BE32-E72D297353CC}">
              <c16:uniqueId val="{00000003-4666-4E29-87CD-3156231F4CF6}"/>
            </c:ext>
          </c:extLst>
        </c:ser>
        <c:dLbls>
          <c:showLegendKey val="0"/>
          <c:showVal val="0"/>
          <c:showCatName val="0"/>
          <c:showSerName val="0"/>
          <c:showPercent val="0"/>
          <c:showBubbleSize val="0"/>
        </c:dLbls>
        <c:marker val="1"/>
        <c:smooth val="0"/>
        <c:axId val="428358160"/>
        <c:axId val="428366800"/>
      </c:lineChart>
      <c:catAx>
        <c:axId val="428358160"/>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700" b="0" i="0" u="none" strike="noStrike" kern="1200" baseline="0">
                <a:ln>
                  <a:noFill/>
                </a:ln>
                <a:solidFill>
                  <a:sysClr val="windowText" lastClr="000000"/>
                </a:solidFill>
                <a:latin typeface="+mn-lt"/>
                <a:ea typeface="+mn-ea"/>
                <a:cs typeface="+mn-cs"/>
              </a:defRPr>
            </a:pPr>
            <a:endParaRPr lang="zh-CN"/>
          </a:p>
        </c:txPr>
        <c:crossAx val="428366800"/>
        <c:crosses val="autoZero"/>
        <c:auto val="1"/>
        <c:lblAlgn val="ctr"/>
        <c:lblOffset val="100"/>
        <c:noMultiLvlLbl val="0"/>
      </c:catAx>
      <c:valAx>
        <c:axId val="428366800"/>
        <c:scaling>
          <c:orientation val="minMax"/>
          <c:max val="0.25"/>
          <c:min val="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ln>
                  <a:noFill/>
                </a:ln>
                <a:solidFill>
                  <a:sysClr val="windowText" lastClr="000000"/>
                </a:solidFill>
                <a:latin typeface="+mn-lt"/>
                <a:ea typeface="+mn-ea"/>
                <a:cs typeface="+mn-cs"/>
              </a:defRPr>
            </a:pPr>
            <a:endParaRPr lang="zh-CN"/>
          </a:p>
        </c:txPr>
        <c:crossAx val="428358160"/>
        <c:crosses val="autoZero"/>
        <c:crossBetween val="between"/>
      </c:valAx>
      <c:spPr>
        <a:noFill/>
        <a:ln>
          <a:noFill/>
        </a:ln>
        <a:effectLst/>
      </c:spPr>
    </c:plotArea>
    <c:legend>
      <c:legendPos val="b"/>
      <c:layout>
        <c:manualLayout>
          <c:xMode val="edge"/>
          <c:yMode val="edge"/>
          <c:x val="0.05"/>
          <c:y val="0.870146231721035"/>
          <c:w val="0.9"/>
          <c:h val="0.129853768278965"/>
        </c:manualLayout>
      </c:layout>
      <c:overlay val="0"/>
      <c:spPr>
        <a:noFill/>
        <a:ln>
          <a:noFill/>
        </a:ln>
        <a:effectLst/>
      </c:spPr>
      <c:txPr>
        <a:bodyPr rot="0" spcFirstLastPara="1" vertOverflow="ellipsis" vert="horz" wrap="square" anchor="ctr" anchorCtr="1"/>
        <a:lstStyle/>
        <a:p>
          <a:pPr>
            <a:defRPr lang="zh-CN" sz="700" b="0" i="0" u="none" strike="noStrike" kern="1200" baseline="0">
              <a:ln>
                <a:noFill/>
              </a:ln>
              <a:solidFill>
                <a:sysClr val="windowText" lastClr="000000"/>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lang="zh-CN" sz="500" baseline="0">
          <a:ln>
            <a:noFill/>
          </a:ln>
          <a:solidFill>
            <a:sysClr val="windowText" lastClr="000000"/>
          </a:solidFill>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8676206083376605E-2"/>
          <c:y val="3.9954865454902198E-2"/>
          <c:w val="0.88119319676942709"/>
          <c:h val="0.72016738272827496"/>
        </c:manualLayout>
      </c:layout>
      <c:lineChart>
        <c:grouping val="standard"/>
        <c:varyColors val="0"/>
        <c:ser>
          <c:idx val="0"/>
          <c:order val="0"/>
          <c:tx>
            <c:strRef>
              <c:f>Sheet1!$B$1</c:f>
              <c:strCache>
                <c:ptCount val="1"/>
                <c:pt idx="0">
                  <c:v>上游地区</c:v>
                </c:pt>
              </c:strCache>
            </c:strRef>
          </c:tx>
          <c:spPr>
            <a:ln w="9525" cap="rnd">
              <a:solidFill>
                <a:srgbClr val="4874CB"/>
              </a:solidFill>
              <a:round/>
            </a:ln>
            <a:effectLst/>
          </c:spPr>
          <c:marker>
            <c:symbol val="triangle"/>
            <c:size val="2"/>
            <c:spPr>
              <a:solidFill>
                <a:srgbClr val="4874CB"/>
              </a:solidFill>
              <a:ln w="9525">
                <a:solidFill>
                  <a:srgbClr val="4874CB"/>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Sheet1!$B$2:$B$12</c:f>
              <c:numCache>
                <c:formatCode>General</c:formatCode>
                <c:ptCount val="11"/>
                <c:pt idx="0">
                  <c:v>1.6057189999999999</c:v>
                </c:pt>
                <c:pt idx="1">
                  <c:v>1.6897800000000001</c:v>
                </c:pt>
                <c:pt idx="2">
                  <c:v>1.6138980000000001</c:v>
                </c:pt>
                <c:pt idx="3">
                  <c:v>1.5838460000000001</c:v>
                </c:pt>
                <c:pt idx="4">
                  <c:v>1.4837320000000001</c:v>
                </c:pt>
                <c:pt idx="5">
                  <c:v>1.452456</c:v>
                </c:pt>
                <c:pt idx="6">
                  <c:v>1.4272290000000001</c:v>
                </c:pt>
                <c:pt idx="7">
                  <c:v>1.373405</c:v>
                </c:pt>
                <c:pt idx="8">
                  <c:v>1.316667</c:v>
                </c:pt>
                <c:pt idx="9">
                  <c:v>1.2419830000000001</c:v>
                </c:pt>
                <c:pt idx="10">
                  <c:v>1.1672979999999999</c:v>
                </c:pt>
              </c:numCache>
            </c:numRef>
          </c:val>
          <c:smooth val="0"/>
          <c:extLst>
            <c:ext xmlns:c16="http://schemas.microsoft.com/office/drawing/2014/chart" uri="{C3380CC4-5D6E-409C-BE32-E72D297353CC}">
              <c16:uniqueId val="{00000000-1B4A-48CA-AF65-F4CB5A83179E}"/>
            </c:ext>
          </c:extLst>
        </c:ser>
        <c:ser>
          <c:idx val="1"/>
          <c:order val="1"/>
          <c:tx>
            <c:strRef>
              <c:f>Sheet1!$C$1</c:f>
              <c:strCache>
                <c:ptCount val="1"/>
                <c:pt idx="0">
                  <c:v>中游地区</c:v>
                </c:pt>
              </c:strCache>
            </c:strRef>
          </c:tx>
          <c:spPr>
            <a:ln w="9525" cap="rnd">
              <a:solidFill>
                <a:srgbClr val="EE822F"/>
              </a:solidFill>
              <a:round/>
            </a:ln>
            <a:effectLst/>
          </c:spPr>
          <c:marker>
            <c:symbol val="diamond"/>
            <c:size val="2"/>
            <c:spPr>
              <a:solidFill>
                <a:srgbClr val="EE822F"/>
              </a:solidFill>
              <a:ln w="9525">
                <a:solidFill>
                  <a:srgbClr val="EE822F"/>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Sheet1!$C$2:$C$12</c:f>
              <c:numCache>
                <c:formatCode>General</c:formatCode>
                <c:ptCount val="11"/>
                <c:pt idx="0">
                  <c:v>2.8655714579999998</c:v>
                </c:pt>
                <c:pt idx="1">
                  <c:v>2.9307237939999999</c:v>
                </c:pt>
                <c:pt idx="2">
                  <c:v>2.750475641</c:v>
                </c:pt>
                <c:pt idx="3">
                  <c:v>2.730896676</c:v>
                </c:pt>
                <c:pt idx="4">
                  <c:v>2.630534897</c:v>
                </c:pt>
                <c:pt idx="5">
                  <c:v>2.5723289889999998</c:v>
                </c:pt>
                <c:pt idx="6">
                  <c:v>2.5030591250000001</c:v>
                </c:pt>
                <c:pt idx="7">
                  <c:v>2.4842322430000001</c:v>
                </c:pt>
                <c:pt idx="8">
                  <c:v>2.478977467</c:v>
                </c:pt>
                <c:pt idx="9">
                  <c:v>2.4124831950000001</c:v>
                </c:pt>
                <c:pt idx="10">
                  <c:v>2.3459889299999999</c:v>
                </c:pt>
              </c:numCache>
            </c:numRef>
          </c:val>
          <c:smooth val="0"/>
          <c:extLst>
            <c:ext xmlns:c16="http://schemas.microsoft.com/office/drawing/2014/chart" uri="{C3380CC4-5D6E-409C-BE32-E72D297353CC}">
              <c16:uniqueId val="{00000001-1B4A-48CA-AF65-F4CB5A83179E}"/>
            </c:ext>
          </c:extLst>
        </c:ser>
        <c:ser>
          <c:idx val="2"/>
          <c:order val="2"/>
          <c:tx>
            <c:strRef>
              <c:f>Sheet1!$D$1</c:f>
              <c:strCache>
                <c:ptCount val="1"/>
                <c:pt idx="0">
                  <c:v>下游地区</c:v>
                </c:pt>
              </c:strCache>
            </c:strRef>
          </c:tx>
          <c:spPr>
            <a:ln w="9525" cap="rnd">
              <a:solidFill>
                <a:srgbClr val="F2BA02"/>
              </a:solidFill>
              <a:round/>
            </a:ln>
            <a:effectLst/>
          </c:spPr>
          <c:marker>
            <c:symbol val="x"/>
            <c:size val="2"/>
            <c:spPr>
              <a:noFill/>
              <a:ln w="9525">
                <a:solidFill>
                  <a:srgbClr val="F2BA02"/>
                </a:solidFill>
              </a:ln>
              <a:effectLst/>
            </c:spPr>
          </c:marker>
          <c:cat>
            <c:numRef>
              <c:f>Sheet1!$A$2:$A$12</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cat>
          <c:val>
            <c:numRef>
              <c:f>Sheet1!$D$2:$D$12</c:f>
              <c:numCache>
                <c:formatCode>General</c:formatCode>
                <c:ptCount val="11"/>
                <c:pt idx="0">
                  <c:v>2.7645607050000001</c:v>
                </c:pt>
                <c:pt idx="1">
                  <c:v>2.675016984</c:v>
                </c:pt>
                <c:pt idx="2">
                  <c:v>2.5698897459999999</c:v>
                </c:pt>
                <c:pt idx="3">
                  <c:v>2.6908196270000002</c:v>
                </c:pt>
                <c:pt idx="4">
                  <c:v>2.4613430799999998</c:v>
                </c:pt>
                <c:pt idx="5">
                  <c:v>2.3316221829999999</c:v>
                </c:pt>
                <c:pt idx="6">
                  <c:v>2.2722973290000001</c:v>
                </c:pt>
                <c:pt idx="7">
                  <c:v>2.2091052000000002</c:v>
                </c:pt>
                <c:pt idx="8">
                  <c:v>2.0078986780000001</c:v>
                </c:pt>
                <c:pt idx="9">
                  <c:v>1.947562072</c:v>
                </c:pt>
                <c:pt idx="10">
                  <c:v>1.88722546</c:v>
                </c:pt>
              </c:numCache>
            </c:numRef>
          </c:val>
          <c:smooth val="0"/>
          <c:extLst>
            <c:ext xmlns:c16="http://schemas.microsoft.com/office/drawing/2014/chart" uri="{C3380CC4-5D6E-409C-BE32-E72D297353CC}">
              <c16:uniqueId val="{00000002-1B4A-48CA-AF65-F4CB5A83179E}"/>
            </c:ext>
          </c:extLst>
        </c:ser>
        <c:dLbls>
          <c:showLegendKey val="0"/>
          <c:showVal val="0"/>
          <c:showCatName val="0"/>
          <c:showSerName val="0"/>
          <c:showPercent val="0"/>
          <c:showBubbleSize val="0"/>
        </c:dLbls>
        <c:marker val="1"/>
        <c:smooth val="0"/>
        <c:axId val="313092504"/>
        <c:axId val="313089264"/>
      </c:lineChart>
      <c:catAx>
        <c:axId val="313092504"/>
        <c:scaling>
          <c:orientation val="minMax"/>
        </c:scaling>
        <c:delete val="0"/>
        <c:axPos val="b"/>
        <c:numFmt formatCode="General" sourceLinked="1"/>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1" vertOverflow="ellipsis" vert="horz" wrap="square" anchor="ctr" anchorCtr="1"/>
          <a:lstStyle/>
          <a:p>
            <a:pPr>
              <a:defRPr lang="zh-CN" sz="7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313089264"/>
        <c:crosses val="autoZero"/>
        <c:auto val="1"/>
        <c:lblAlgn val="ctr"/>
        <c:lblOffset val="100"/>
        <c:noMultiLvlLbl val="0"/>
      </c:catAx>
      <c:valAx>
        <c:axId val="313089264"/>
        <c:scaling>
          <c:orientation val="minMax"/>
          <c:max val="3"/>
          <c:min val="1"/>
        </c:scaling>
        <c:delete val="0"/>
        <c:axPos val="l"/>
        <c:numFmt formatCode="#,##0.00_);[Red]\(#,##0.00\)" sourceLinked="0"/>
        <c:majorTickMark val="none"/>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ysClr val="windowText" lastClr="000000"/>
                </a:solidFill>
                <a:latin typeface="Times New Roman" panose="02020603050405020304" charset="0"/>
                <a:ea typeface="+mn-ea"/>
                <a:cs typeface="Times New Roman" panose="02020603050405020304" charset="0"/>
              </a:defRPr>
            </a:pPr>
            <a:endParaRPr lang="zh-CN"/>
          </a:p>
        </c:txPr>
        <c:crossAx val="313092504"/>
        <c:crosses val="autoZero"/>
        <c:crossBetween val="between"/>
        <c:majorUnit val="0.4"/>
        <c:minorUnit val="0.2"/>
      </c:valAx>
      <c:spPr>
        <a:noFill/>
        <a:ln>
          <a:noFill/>
        </a:ln>
        <a:effectLst/>
      </c:spPr>
    </c:plotArea>
    <c:legend>
      <c:legendPos val="b"/>
      <c:layout>
        <c:manualLayout>
          <c:xMode val="edge"/>
          <c:yMode val="edge"/>
          <c:x val="3.6066119797960497E-2"/>
          <c:y val="0.869067788940176"/>
          <c:w val="0.891410884704669"/>
          <c:h val="0.130932211059824"/>
        </c:manualLayout>
      </c:layout>
      <c:overlay val="0"/>
      <c:spPr>
        <a:noFill/>
        <a:ln>
          <a:noFill/>
        </a:ln>
        <a:effectLst/>
      </c:spPr>
      <c:txPr>
        <a:bodyPr rot="0" spcFirstLastPara="1" vertOverflow="ellipsis" vert="horz" wrap="square" anchor="ctr" anchorCtr="1"/>
        <a:lstStyle/>
        <a:p>
          <a:pPr>
            <a:defRPr lang="zh-CN" sz="700" b="0" i="0" u="none" strike="noStrike" kern="1200" baseline="0">
              <a:solidFill>
                <a:sysClr val="windowText" lastClr="000000">
                  <a:lumMod val="65000"/>
                  <a:lumOff val="35000"/>
                </a:sysClr>
              </a:solidFill>
              <a:latin typeface="+mn-lt"/>
              <a:ea typeface="+mn-ea"/>
              <a:cs typeface="+mn-cs"/>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91D4C-BE15-4527-831E-E221CDA8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19</Pages>
  <Words>2684</Words>
  <Characters>15304</Characters>
  <Application>Microsoft Office Word</Application>
  <DocSecurity>0</DocSecurity>
  <Lines>127</Lines>
  <Paragraphs>35</Paragraphs>
  <ScaleCrop>false</ScaleCrop>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huiyang sang</dc:creator>
  <cp:lastModifiedBy>维克多 霍阿卡迪奥</cp:lastModifiedBy>
  <cp:revision>24</cp:revision>
  <dcterms:created xsi:type="dcterms:W3CDTF">2023-12-26T16:32:00Z</dcterms:created>
  <dcterms:modified xsi:type="dcterms:W3CDTF">2023-12-27T17:04:00Z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F9D897A0592A4D4581DAB319CE4DBD4E_13</vt:lpwstr>
  </property>
</Properties>
</file>