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E653" w14:textId="4AC259B9" w:rsidR="006A6645" w:rsidRDefault="0087363E" w:rsidP="006A6645">
      <w:pPr>
        <w:ind w:firstLineChars="200" w:firstLine="360"/>
      </w:pPr>
      <w:r>
        <w:rPr>
          <w:rFonts w:hint="eastAsia"/>
        </w:rPr>
        <w:t>五、实证分析</w:t>
      </w:r>
    </w:p>
    <w:p w14:paraId="0350BF7C" w14:textId="19729C4E" w:rsidR="00C550DE" w:rsidRDefault="005F72A2" w:rsidP="005F72A2">
      <w:pPr>
        <w:ind w:firstLineChars="200" w:firstLine="360"/>
      </w:pPr>
      <w:r w:rsidRPr="005F72A2">
        <w:rPr>
          <w:rFonts w:hint="eastAsia"/>
        </w:rPr>
        <w:t>本文将长江经济</w:t>
      </w:r>
      <w:proofErr w:type="gramStart"/>
      <w:r w:rsidRPr="005F72A2">
        <w:rPr>
          <w:rFonts w:hint="eastAsia"/>
        </w:rPr>
        <w:t>带地区</w:t>
      </w:r>
      <w:proofErr w:type="gramEnd"/>
      <w:r w:rsidRPr="005F72A2">
        <w:rPr>
          <w:rFonts w:hint="eastAsia"/>
        </w:rPr>
        <w:t>划分为上游地区、中游地区以及下游地区，其中上游地区包括重庆市、四川省、贵州省以及云南省，中游地区包括安徽省、江西省、湖北省以及湖南省，下游地区包括上海市、江苏省以及浙江省。</w:t>
      </w:r>
    </w:p>
    <w:p w14:paraId="4464BC71" w14:textId="5FF5A333" w:rsidR="005F72A2" w:rsidRDefault="005F72A2" w:rsidP="005F72A2">
      <w:pPr>
        <w:ind w:firstLineChars="200" w:firstLine="360"/>
        <w:rPr>
          <w:rFonts w:hint="eastAsia"/>
        </w:rPr>
        <w:sectPr w:rsidR="005F72A2" w:rsidSect="00C550DE">
          <w:pgSz w:w="11906" w:h="16838"/>
          <w:pgMar w:top="1440" w:right="1800" w:bottom="1440" w:left="1800" w:header="851" w:footer="992" w:gutter="0"/>
          <w:cols w:space="425"/>
          <w:docGrid w:type="lines" w:linePitch="312"/>
        </w:sectPr>
      </w:pPr>
    </w:p>
    <w:p w14:paraId="4E6F6C18" w14:textId="33379E1E" w:rsidR="00E53786" w:rsidRDefault="00652318" w:rsidP="00C466DB">
      <w:pPr>
        <w:pStyle w:val="a7"/>
        <w:numPr>
          <w:ilvl w:val="0"/>
          <w:numId w:val="2"/>
        </w:numPr>
        <w:ind w:firstLineChars="0"/>
      </w:pPr>
      <w:r w:rsidRPr="00E53786">
        <w:rPr>
          <w:rFonts w:hint="eastAsia"/>
        </w:rPr>
        <w:t>绿色金融</w:t>
      </w:r>
      <w:r w:rsidR="00E53786" w:rsidRPr="00E53786">
        <w:rPr>
          <w:rFonts w:hint="eastAsia"/>
        </w:rPr>
        <w:t>发展指数结果分析</w:t>
      </w:r>
    </w:p>
    <w:p w14:paraId="570F2304" w14:textId="77777777" w:rsidR="00C466DB" w:rsidRDefault="00C466DB" w:rsidP="00C466DB">
      <w:r>
        <w:rPr>
          <w:rFonts w:hint="eastAsia"/>
          <w:noProof/>
        </w:rPr>
        <w:drawing>
          <wp:inline distT="0" distB="0" distL="0" distR="0" wp14:anchorId="132DCC44" wp14:editId="5B6A4F7E">
            <wp:extent cx="2469515" cy="1128155"/>
            <wp:effectExtent l="0" t="0" r="6985" b="0"/>
            <wp:docPr id="884686740"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CA1B8B5" w14:textId="6952E55D" w:rsidR="00C466DB" w:rsidRPr="00C466DB" w:rsidRDefault="00C466DB" w:rsidP="00C466DB">
      <w:pPr>
        <w:ind w:firstLine="300"/>
        <w:jc w:val="center"/>
        <w:rPr>
          <w:sz w:val="15"/>
          <w:szCs w:val="15"/>
        </w:rPr>
      </w:pPr>
      <w:r w:rsidRPr="00C466DB">
        <w:rPr>
          <w:rFonts w:hint="eastAsia"/>
          <w:sz w:val="15"/>
          <w:szCs w:val="15"/>
        </w:rPr>
        <w:t>图</w:t>
      </w:r>
      <w:r w:rsidRPr="00C466DB">
        <w:rPr>
          <w:sz w:val="15"/>
          <w:szCs w:val="15"/>
        </w:rPr>
        <w:t>1 2010-2020</w:t>
      </w:r>
      <w:r w:rsidRPr="00C466DB">
        <w:rPr>
          <w:rFonts w:hint="eastAsia"/>
          <w:sz w:val="15"/>
          <w:szCs w:val="15"/>
        </w:rPr>
        <w:t>年长江经济带绿色金融发展指数分区域</w:t>
      </w:r>
    </w:p>
    <w:p w14:paraId="243878C0" w14:textId="77777777" w:rsidR="005F72A2" w:rsidRDefault="005F72A2" w:rsidP="005F72A2">
      <w:pPr>
        <w:ind w:firstLineChars="200" w:firstLine="360"/>
        <w:rPr>
          <w:rFonts w:hint="eastAsia"/>
        </w:rPr>
      </w:pPr>
      <w:r>
        <w:rPr>
          <w:rFonts w:hint="eastAsia"/>
        </w:rPr>
        <w:t>图</w:t>
      </w:r>
      <w:r>
        <w:rPr>
          <w:rFonts w:hint="eastAsia"/>
        </w:rPr>
        <w:t>1</w:t>
      </w:r>
      <w:r>
        <w:rPr>
          <w:rFonts w:hint="eastAsia"/>
        </w:rPr>
        <w:t>反映了</w:t>
      </w:r>
      <w:r>
        <w:rPr>
          <w:rFonts w:hint="eastAsia"/>
        </w:rPr>
        <w:t>2010</w:t>
      </w:r>
      <w:r>
        <w:rPr>
          <w:rFonts w:hint="eastAsia"/>
        </w:rPr>
        <w:t>年至</w:t>
      </w:r>
      <w:r>
        <w:rPr>
          <w:rFonts w:hint="eastAsia"/>
        </w:rPr>
        <w:t>2020</w:t>
      </w:r>
      <w:r>
        <w:rPr>
          <w:rFonts w:hint="eastAsia"/>
        </w:rPr>
        <w:t>年长江经济带上中下游地区绿色金融发展水平的熵值法测算结果，其中数值越高，表示发展状况越良好。据图中分析可知，</w:t>
      </w:r>
      <w:r>
        <w:rPr>
          <w:rFonts w:hint="eastAsia"/>
        </w:rPr>
        <w:t>2010</w:t>
      </w:r>
      <w:r>
        <w:rPr>
          <w:rFonts w:hint="eastAsia"/>
        </w:rPr>
        <w:t>年至</w:t>
      </w:r>
      <w:r>
        <w:rPr>
          <w:rFonts w:hint="eastAsia"/>
        </w:rPr>
        <w:t>2020</w:t>
      </w:r>
      <w:r>
        <w:rPr>
          <w:rFonts w:hint="eastAsia"/>
        </w:rPr>
        <w:t>年长江中游与下游地区绿色金融发展指数为</w:t>
      </w:r>
      <w:r>
        <w:rPr>
          <w:rFonts w:hint="eastAsia"/>
        </w:rPr>
        <w:t>0.200935-0.278040</w:t>
      </w:r>
      <w:r>
        <w:rPr>
          <w:rFonts w:hint="eastAsia"/>
        </w:rPr>
        <w:t>，</w:t>
      </w:r>
      <w:r>
        <w:rPr>
          <w:rFonts w:hint="eastAsia"/>
        </w:rPr>
        <w:t>0.162230-0.254369</w:t>
      </w:r>
      <w:r>
        <w:rPr>
          <w:rFonts w:hint="eastAsia"/>
        </w:rPr>
        <w:t>，虽然偶尔出现波动下滑，但整体趋势呈现稳步向上的发展态势。长江上游</w:t>
      </w:r>
      <w:r>
        <w:rPr>
          <w:rFonts w:hint="eastAsia"/>
        </w:rPr>
        <w:t>2010</w:t>
      </w:r>
      <w:r>
        <w:rPr>
          <w:rFonts w:hint="eastAsia"/>
        </w:rPr>
        <w:t>年至</w:t>
      </w:r>
      <w:r>
        <w:rPr>
          <w:rFonts w:hint="eastAsia"/>
        </w:rPr>
        <w:t>2016</w:t>
      </w:r>
      <w:r>
        <w:rPr>
          <w:rFonts w:hint="eastAsia"/>
        </w:rPr>
        <w:t>年绿色金融发展指数为</w:t>
      </w:r>
      <w:r>
        <w:rPr>
          <w:rFonts w:hint="eastAsia"/>
        </w:rPr>
        <w:t>0.276813-0.227249</w:t>
      </w:r>
      <w:r>
        <w:rPr>
          <w:rFonts w:hint="eastAsia"/>
        </w:rPr>
        <w:t>，偶尔上浮，但整体趋势呈现稳步下滑的态势。值得注意的是，</w:t>
      </w:r>
      <w:r>
        <w:rPr>
          <w:rFonts w:hint="eastAsia"/>
        </w:rPr>
        <w:t>2017</w:t>
      </w:r>
      <w:r>
        <w:rPr>
          <w:rFonts w:hint="eastAsia"/>
        </w:rPr>
        <w:t>年绿色金融发展指数出现了异常的激增，相较于</w:t>
      </w:r>
      <w:proofErr w:type="gramStart"/>
      <w:r>
        <w:rPr>
          <w:rFonts w:hint="eastAsia"/>
        </w:rPr>
        <w:t>前年实现</w:t>
      </w:r>
      <w:proofErr w:type="gramEnd"/>
      <w:r>
        <w:rPr>
          <w:rFonts w:hint="eastAsia"/>
        </w:rPr>
        <w:t>了高达</w:t>
      </w:r>
      <w:r>
        <w:rPr>
          <w:rFonts w:hint="eastAsia"/>
        </w:rPr>
        <w:t>87%</w:t>
      </w:r>
      <w:r>
        <w:rPr>
          <w:rFonts w:hint="eastAsia"/>
        </w:rPr>
        <w:t>的提升幅度，但后续年份逐渐递减至</w:t>
      </w:r>
      <w:r>
        <w:rPr>
          <w:rFonts w:hint="eastAsia"/>
        </w:rPr>
        <w:t>2020</w:t>
      </w:r>
      <w:r>
        <w:rPr>
          <w:rFonts w:hint="eastAsia"/>
        </w:rPr>
        <w:t>年的</w:t>
      </w:r>
      <w:r>
        <w:rPr>
          <w:rFonts w:hint="eastAsia"/>
        </w:rPr>
        <w:t>0.364431</w:t>
      </w:r>
      <w:r>
        <w:rPr>
          <w:rFonts w:hint="eastAsia"/>
        </w:rPr>
        <w:t>。长江上中下游横向对比，绿色金融发展态势存在一定的差异。总体来看，长江中游与下游地区的绿色金融发展态势较为相似，呈现大体上增长的状况，就绿色金融发展的状态而言，上游地区普遍优于中下游地区。相比之下，上游地区的发展态势则呈现下降的趋势，但在</w:t>
      </w:r>
      <w:r>
        <w:rPr>
          <w:rFonts w:hint="eastAsia"/>
        </w:rPr>
        <w:t>2017</w:t>
      </w:r>
      <w:r>
        <w:rPr>
          <w:rFonts w:hint="eastAsia"/>
        </w:rPr>
        <w:t>年出现了激增的情况。通过研究分析可得，我国长江经济带各地区的绿色金融发展水平整体上均呈现波动式上升的趋势。这不仅得益于市场主体的积极参与和金融行业的创新，更离不开政策的引导和支持，包括设立绿色金融专项资金、完善绿色金融监管体系、推动绿色金融产品创新等。这些政策的出台为长江经济带的绿色金融发展提供了有力的政策保障。</w:t>
      </w:r>
    </w:p>
    <w:p w14:paraId="76387C7E" w14:textId="257D1C51" w:rsidR="00C466DB" w:rsidRDefault="005F72A2" w:rsidP="005F72A2">
      <w:pPr>
        <w:ind w:firstLineChars="200" w:firstLine="360"/>
      </w:pPr>
      <w:r>
        <w:rPr>
          <w:rFonts w:hint="eastAsia"/>
        </w:rPr>
        <w:t>为了深入探究</w:t>
      </w:r>
      <w:r>
        <w:rPr>
          <w:rFonts w:hint="eastAsia"/>
        </w:rPr>
        <w:t>2017</w:t>
      </w:r>
      <w:r>
        <w:rPr>
          <w:rFonts w:hint="eastAsia"/>
        </w:rPr>
        <w:t>年长江经济带上游地区绿色金融发展指数大幅改善的原因，本文对长江上游地区的绿色金融发展指数按省份进行了详细的分析，得到了图</w:t>
      </w:r>
      <w:r>
        <w:rPr>
          <w:rFonts w:hint="eastAsia"/>
        </w:rPr>
        <w:t>2</w:t>
      </w:r>
      <w:r>
        <w:rPr>
          <w:rFonts w:hint="eastAsia"/>
        </w:rPr>
        <w:t>。根据本文所收集到的资料可得，造成云南省绿色金融发展水平大幅变化的原因可能是因为在</w:t>
      </w:r>
      <w:r>
        <w:rPr>
          <w:rFonts w:hint="eastAsia"/>
        </w:rPr>
        <w:t>2017</w:t>
      </w:r>
      <w:r>
        <w:rPr>
          <w:rFonts w:hint="eastAsia"/>
        </w:rPr>
        <w:t>年该地区针对绿色信贷与绿色金融行业出台了大量扶持政策。这些政策的出台为云</w:t>
      </w:r>
      <w:r>
        <w:rPr>
          <w:rFonts w:hint="eastAsia"/>
        </w:rPr>
        <w:t>南省的绿色金融发展提供了有力的支持，使得该地区的绿色金融在短时间内大幅度改善。</w:t>
      </w:r>
    </w:p>
    <w:p w14:paraId="1BEBD209" w14:textId="77777777" w:rsidR="005F72A2" w:rsidRDefault="005F72A2" w:rsidP="00B460FD">
      <w:pPr>
        <w:ind w:firstLineChars="200" w:firstLine="360"/>
        <w:rPr>
          <w:rFonts w:hint="eastAsia"/>
        </w:rPr>
      </w:pPr>
    </w:p>
    <w:p w14:paraId="28D9E827" w14:textId="30E25736" w:rsidR="00B74CB6" w:rsidRDefault="00B74CB6" w:rsidP="00C466DB">
      <w:r>
        <w:rPr>
          <w:rFonts w:hint="eastAsia"/>
          <w:noProof/>
        </w:rPr>
        <w:drawing>
          <wp:inline distT="0" distB="0" distL="0" distR="0" wp14:anchorId="7EA1FFE9" wp14:editId="56A1E43E">
            <wp:extent cx="2501900" cy="1238250"/>
            <wp:effectExtent l="0" t="0" r="0" b="0"/>
            <wp:docPr id="139606585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34C069" w14:textId="5D46451A" w:rsidR="00D7478B" w:rsidRPr="007F21E3" w:rsidRDefault="00D7478B" w:rsidP="00D7478B">
      <w:pPr>
        <w:ind w:firstLine="300"/>
        <w:jc w:val="center"/>
        <w:rPr>
          <w:sz w:val="15"/>
          <w:szCs w:val="15"/>
        </w:rPr>
      </w:pPr>
      <w:r w:rsidRPr="007F21E3">
        <w:rPr>
          <w:rFonts w:hint="eastAsia"/>
          <w:sz w:val="15"/>
          <w:szCs w:val="15"/>
        </w:rPr>
        <w:t>图</w:t>
      </w:r>
      <w:r>
        <w:rPr>
          <w:sz w:val="15"/>
          <w:szCs w:val="15"/>
        </w:rPr>
        <w:t>2</w:t>
      </w:r>
      <w:r w:rsidRPr="007F21E3">
        <w:rPr>
          <w:sz w:val="15"/>
          <w:szCs w:val="15"/>
        </w:rPr>
        <w:t xml:space="preserve"> 2010-2020</w:t>
      </w:r>
      <w:r w:rsidRPr="007F21E3">
        <w:rPr>
          <w:rFonts w:hint="eastAsia"/>
          <w:sz w:val="15"/>
          <w:szCs w:val="15"/>
        </w:rPr>
        <w:t>年长江</w:t>
      </w:r>
      <w:r>
        <w:rPr>
          <w:rFonts w:hint="eastAsia"/>
          <w:sz w:val="15"/>
          <w:szCs w:val="15"/>
        </w:rPr>
        <w:t>上游</w:t>
      </w:r>
      <w:r w:rsidRPr="007F21E3">
        <w:rPr>
          <w:rFonts w:hint="eastAsia"/>
          <w:sz w:val="15"/>
          <w:szCs w:val="15"/>
        </w:rPr>
        <w:t>绿色金融发展指数分</w:t>
      </w:r>
      <w:r>
        <w:rPr>
          <w:rFonts w:hint="eastAsia"/>
          <w:sz w:val="15"/>
          <w:szCs w:val="15"/>
        </w:rPr>
        <w:t>省区</w:t>
      </w:r>
    </w:p>
    <w:p w14:paraId="2247C47C" w14:textId="7D7280B0" w:rsidR="00C466DB" w:rsidRPr="00E53786" w:rsidRDefault="00C466DB" w:rsidP="00C466DB">
      <w:r>
        <w:rPr>
          <w:rFonts w:hint="eastAsia"/>
        </w:rPr>
        <w:t>（二）</w:t>
      </w:r>
      <w:r w:rsidR="001B0E63">
        <w:rPr>
          <w:rFonts w:hint="eastAsia"/>
        </w:rPr>
        <w:t>能源结构</w:t>
      </w:r>
      <w:r w:rsidRPr="00E53786">
        <w:rPr>
          <w:rFonts w:hint="eastAsia"/>
        </w:rPr>
        <w:t>指数结果分析</w:t>
      </w:r>
    </w:p>
    <w:p w14:paraId="6FE0128E" w14:textId="1BB3E8DF" w:rsidR="00D7478B" w:rsidRDefault="00C466DB" w:rsidP="00DD03BF">
      <w:pPr>
        <w:jc w:val="center"/>
      </w:pPr>
      <w:r>
        <w:rPr>
          <w:rFonts w:hint="eastAsia"/>
          <w:noProof/>
        </w:rPr>
        <w:drawing>
          <wp:inline distT="0" distB="0" distL="0" distR="0" wp14:anchorId="5FF9826F" wp14:editId="0B43BC37">
            <wp:extent cx="2461895" cy="1153192"/>
            <wp:effectExtent l="0" t="0" r="0" b="8890"/>
            <wp:docPr id="2133385383"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89388A" w14:textId="31B71DCE" w:rsidR="00DD03BF" w:rsidRPr="007F21E3" w:rsidRDefault="00DD03BF" w:rsidP="005F72A2">
      <w:pPr>
        <w:jc w:val="center"/>
        <w:rPr>
          <w:sz w:val="15"/>
          <w:szCs w:val="15"/>
        </w:rPr>
      </w:pPr>
      <w:r w:rsidRPr="007F21E3">
        <w:rPr>
          <w:rFonts w:hint="eastAsia"/>
          <w:sz w:val="15"/>
          <w:szCs w:val="15"/>
        </w:rPr>
        <w:t>图</w:t>
      </w:r>
      <w:r>
        <w:rPr>
          <w:sz w:val="15"/>
          <w:szCs w:val="15"/>
        </w:rPr>
        <w:t>3</w:t>
      </w:r>
      <w:r w:rsidRPr="007F21E3">
        <w:rPr>
          <w:sz w:val="15"/>
          <w:szCs w:val="15"/>
        </w:rPr>
        <w:t xml:space="preserve"> 2010-2020</w:t>
      </w:r>
      <w:r w:rsidRPr="007F21E3">
        <w:rPr>
          <w:rFonts w:hint="eastAsia"/>
          <w:sz w:val="15"/>
          <w:szCs w:val="15"/>
        </w:rPr>
        <w:t>年长江</w:t>
      </w:r>
      <w:r w:rsidR="001B0E63">
        <w:rPr>
          <w:rFonts w:hint="eastAsia"/>
          <w:sz w:val="15"/>
          <w:szCs w:val="15"/>
        </w:rPr>
        <w:t>经济带</w:t>
      </w:r>
      <w:r>
        <w:rPr>
          <w:rFonts w:hint="eastAsia"/>
          <w:sz w:val="15"/>
          <w:szCs w:val="15"/>
        </w:rPr>
        <w:t>能源</w:t>
      </w:r>
      <w:r w:rsidRPr="007F21E3">
        <w:rPr>
          <w:rFonts w:hint="eastAsia"/>
          <w:sz w:val="15"/>
          <w:szCs w:val="15"/>
        </w:rPr>
        <w:t>分</w:t>
      </w:r>
      <w:r w:rsidR="005F72A2" w:rsidRPr="00C466DB">
        <w:rPr>
          <w:rFonts w:hint="eastAsia"/>
          <w:sz w:val="15"/>
          <w:szCs w:val="15"/>
        </w:rPr>
        <w:t>区域</w:t>
      </w:r>
    </w:p>
    <w:p w14:paraId="41BD6F50" w14:textId="3B8A6225" w:rsidR="00DD03BF" w:rsidRPr="00DD03BF" w:rsidRDefault="005F72A2" w:rsidP="005F72A2">
      <w:pPr>
        <w:ind w:firstLineChars="200" w:firstLine="360"/>
      </w:pPr>
      <w:r w:rsidRPr="005F72A2">
        <w:rPr>
          <w:rFonts w:hint="eastAsia"/>
        </w:rPr>
        <w:t>图</w:t>
      </w:r>
      <w:r w:rsidRPr="005F72A2">
        <w:rPr>
          <w:rFonts w:hint="eastAsia"/>
        </w:rPr>
        <w:t>3</w:t>
      </w:r>
      <w:r w:rsidRPr="005F72A2">
        <w:rPr>
          <w:rFonts w:hint="eastAsia"/>
        </w:rPr>
        <w:t>展示了</w:t>
      </w:r>
      <w:r w:rsidRPr="005F72A2">
        <w:rPr>
          <w:rFonts w:hint="eastAsia"/>
        </w:rPr>
        <w:t>2010</w:t>
      </w:r>
      <w:r w:rsidRPr="005F72A2">
        <w:rPr>
          <w:rFonts w:hint="eastAsia"/>
        </w:rPr>
        <w:t>年至</w:t>
      </w:r>
      <w:r w:rsidRPr="005F72A2">
        <w:rPr>
          <w:rFonts w:hint="eastAsia"/>
        </w:rPr>
        <w:t>2020</w:t>
      </w:r>
      <w:r w:rsidRPr="005F72A2">
        <w:rPr>
          <w:rFonts w:hint="eastAsia"/>
        </w:rPr>
        <w:t>年长江经济带能源结构的水平。</w:t>
      </w:r>
      <w:r w:rsidR="005514EA">
        <w:rPr>
          <w:rFonts w:hint="eastAsia"/>
        </w:rPr>
        <w:t>数值越小，代表能源结构越优。</w:t>
      </w:r>
      <w:r w:rsidRPr="005F72A2">
        <w:rPr>
          <w:rFonts w:hint="eastAsia"/>
        </w:rPr>
        <w:t>研究显示，长江经济带的能源结构与升级水平在此期间呈现稳定的</w:t>
      </w:r>
      <w:r w:rsidR="005514EA">
        <w:rPr>
          <w:rFonts w:hint="eastAsia"/>
        </w:rPr>
        <w:t>下降</w:t>
      </w:r>
      <w:r w:rsidRPr="005F72A2">
        <w:rPr>
          <w:rFonts w:hint="eastAsia"/>
        </w:rPr>
        <w:t>趋势。具体来看，上游地区的能源结构指数范围在</w:t>
      </w:r>
      <w:r w:rsidRPr="005F72A2">
        <w:t>1.241982</w:t>
      </w:r>
      <w:r w:rsidRPr="005F72A2">
        <w:rPr>
          <w:rFonts w:hint="eastAsia"/>
        </w:rPr>
        <w:t>至</w:t>
      </w:r>
      <w:r w:rsidRPr="005F72A2">
        <w:t>1.689780</w:t>
      </w:r>
      <w:r w:rsidRPr="005F72A2">
        <w:rPr>
          <w:rFonts w:hint="eastAsia"/>
        </w:rPr>
        <w:t>之间，中游地区为</w:t>
      </w:r>
      <w:r w:rsidR="005514EA" w:rsidRPr="005F72A2">
        <w:t>2.412483</w:t>
      </w:r>
      <w:r w:rsidR="005514EA" w:rsidRPr="005F72A2">
        <w:rPr>
          <w:rFonts w:hint="eastAsia"/>
        </w:rPr>
        <w:t>至</w:t>
      </w:r>
      <w:r w:rsidR="005514EA" w:rsidRPr="005F72A2">
        <w:t>2.930723</w:t>
      </w:r>
      <w:r w:rsidR="005514EA" w:rsidRPr="005F72A2">
        <w:rPr>
          <w:rFonts w:hint="eastAsia"/>
        </w:rPr>
        <w:t>之间</w:t>
      </w:r>
      <w:r w:rsidRPr="005F72A2">
        <w:rPr>
          <w:rFonts w:hint="eastAsia"/>
        </w:rPr>
        <w:t>，而下游地区则在</w:t>
      </w:r>
      <w:r w:rsidR="005514EA" w:rsidRPr="005514EA">
        <w:t>1.947562</w:t>
      </w:r>
      <w:r w:rsidRPr="005F72A2">
        <w:rPr>
          <w:rFonts w:hint="eastAsia"/>
        </w:rPr>
        <w:t>至</w:t>
      </w:r>
      <w:r w:rsidR="005514EA" w:rsidRPr="005514EA">
        <w:t>2.764560</w:t>
      </w:r>
      <w:r w:rsidRPr="005F72A2">
        <w:rPr>
          <w:rFonts w:hint="eastAsia"/>
        </w:rPr>
        <w:t>之间。在能源结构水平上，</w:t>
      </w:r>
      <w:r w:rsidR="005514EA">
        <w:rPr>
          <w:rFonts w:hint="eastAsia"/>
        </w:rPr>
        <w:t>上</w:t>
      </w:r>
      <w:r w:rsidRPr="005F72A2">
        <w:rPr>
          <w:rFonts w:hint="eastAsia"/>
        </w:rPr>
        <w:t>游地区表现最优，</w:t>
      </w:r>
      <w:r w:rsidR="005514EA">
        <w:rPr>
          <w:rFonts w:hint="eastAsia"/>
        </w:rPr>
        <w:t>下</w:t>
      </w:r>
      <w:r w:rsidRPr="005F72A2">
        <w:rPr>
          <w:rFonts w:hint="eastAsia"/>
        </w:rPr>
        <w:t>游地区次之，而</w:t>
      </w:r>
      <w:r w:rsidR="005514EA">
        <w:rPr>
          <w:rFonts w:hint="eastAsia"/>
        </w:rPr>
        <w:t>中</w:t>
      </w:r>
      <w:r w:rsidRPr="005F72A2">
        <w:rPr>
          <w:rFonts w:hint="eastAsia"/>
        </w:rPr>
        <w:t>游地区</w:t>
      </w:r>
      <w:r w:rsidR="005514EA">
        <w:rPr>
          <w:rFonts w:hint="eastAsia"/>
        </w:rPr>
        <w:t>最次</w:t>
      </w:r>
      <w:r w:rsidRPr="005F72A2">
        <w:rPr>
          <w:rFonts w:hint="eastAsia"/>
        </w:rPr>
        <w:t>。值得注意的是，</w:t>
      </w:r>
      <w:r w:rsidR="005514EA">
        <w:rPr>
          <w:rFonts w:hint="eastAsia"/>
        </w:rPr>
        <w:t>下</w:t>
      </w:r>
      <w:r w:rsidRPr="005F72A2">
        <w:rPr>
          <w:rFonts w:hint="eastAsia"/>
        </w:rPr>
        <w:t>游地区的能源结构改善速度最为迅速，与下游地区的差距逐年减小。中游和下游地区的能源指数发展态势相似。下游地区在能源水平上的领先地位，与其地理位置和经济发展水平密切相关。位于长江经济带下游的地区，涵盖了上海、江苏等经济大省，这些地区以其强大的经济实力作为发展动力。相较于其他地区，这些地区较早地起步，积累了丰富的技术资源，利于其技术的进一步创新发展。此外，得益于国家的大力政策支持，长江下游地区拥有了最为合理的能源布局与绿色发展策略。此外，近年来，长江上游地区逐渐成为国家发展的重点区域，同时吸引了众多能源企业在此布局，这使得上游地区在短短十年内实现了能源</w:t>
      </w:r>
      <w:r w:rsidRPr="005F72A2">
        <w:rPr>
          <w:rFonts w:hint="eastAsia"/>
        </w:rPr>
        <w:lastRenderedPageBreak/>
        <w:t>结构的显著改善。</w:t>
      </w:r>
    </w:p>
    <w:sectPr w:rsidR="00DD03BF" w:rsidRPr="00DD03BF" w:rsidSect="00C550DE">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8C249" w14:textId="77777777" w:rsidR="004D3510" w:rsidRDefault="004D3510" w:rsidP="00E943A1">
      <w:r>
        <w:separator/>
      </w:r>
    </w:p>
  </w:endnote>
  <w:endnote w:type="continuationSeparator" w:id="0">
    <w:p w14:paraId="5367C764" w14:textId="77777777" w:rsidR="004D3510" w:rsidRDefault="004D3510" w:rsidP="00E9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7C5BA" w14:textId="77777777" w:rsidR="004D3510" w:rsidRDefault="004D3510" w:rsidP="00E943A1">
      <w:r>
        <w:separator/>
      </w:r>
    </w:p>
  </w:footnote>
  <w:footnote w:type="continuationSeparator" w:id="0">
    <w:p w14:paraId="125D5603" w14:textId="77777777" w:rsidR="004D3510" w:rsidRDefault="004D3510" w:rsidP="00E94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71278"/>
    <w:multiLevelType w:val="hybridMultilevel"/>
    <w:tmpl w:val="7F0C8EC0"/>
    <w:lvl w:ilvl="0" w:tplc="6CC0889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87E5B9D"/>
    <w:multiLevelType w:val="hybridMultilevel"/>
    <w:tmpl w:val="93F48BA0"/>
    <w:lvl w:ilvl="0" w:tplc="51D6D1B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8783663">
    <w:abstractNumId w:val="0"/>
  </w:num>
  <w:num w:numId="2" w16cid:durableId="1710110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I2MTcxYzc5NmU2YzUzNWVkMTk4MDI1ZDI1OTM2YjQifQ=="/>
  </w:docVars>
  <w:rsids>
    <w:rsidRoot w:val="2EC81623"/>
    <w:rsid w:val="000F5B94"/>
    <w:rsid w:val="001B0E63"/>
    <w:rsid w:val="002F446B"/>
    <w:rsid w:val="00424F5C"/>
    <w:rsid w:val="0043511F"/>
    <w:rsid w:val="004619CA"/>
    <w:rsid w:val="004C0116"/>
    <w:rsid w:val="004D07EA"/>
    <w:rsid w:val="004D3510"/>
    <w:rsid w:val="005514EA"/>
    <w:rsid w:val="005F72A2"/>
    <w:rsid w:val="00652318"/>
    <w:rsid w:val="00694C56"/>
    <w:rsid w:val="006A6645"/>
    <w:rsid w:val="007F21E3"/>
    <w:rsid w:val="0084354B"/>
    <w:rsid w:val="0087363E"/>
    <w:rsid w:val="0096652F"/>
    <w:rsid w:val="00B460FD"/>
    <w:rsid w:val="00B74CB6"/>
    <w:rsid w:val="00BC3747"/>
    <w:rsid w:val="00C466DB"/>
    <w:rsid w:val="00C550DE"/>
    <w:rsid w:val="00D7478B"/>
    <w:rsid w:val="00DD03BF"/>
    <w:rsid w:val="00E53786"/>
    <w:rsid w:val="00E83A74"/>
    <w:rsid w:val="00E943A1"/>
    <w:rsid w:val="00FA6A2C"/>
    <w:rsid w:val="2EC81623"/>
    <w:rsid w:val="32837194"/>
    <w:rsid w:val="38B92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E8222F"/>
  <w15:docId w15:val="{62446703-0D84-4B73-97AB-5BE5B0E8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E943A1"/>
    <w:pPr>
      <w:widowControl w:val="0"/>
      <w:wordWrap w:val="0"/>
      <w:jc w:val="both"/>
    </w:pPr>
    <w:rPr>
      <w:kern w:val="2"/>
      <w:sz w:val="18"/>
      <w:szCs w:val="18"/>
    </w:rPr>
  </w:style>
  <w:style w:type="paragraph" w:styleId="2">
    <w:name w:val="heading 2"/>
    <w:next w:val="a"/>
    <w:link w:val="20"/>
    <w:semiHidden/>
    <w:unhideWhenUsed/>
    <w:qFormat/>
    <w:pPr>
      <w:keepNext/>
      <w:keepLines/>
      <w:spacing w:before="120" w:after="120"/>
      <w:outlineLvl w:val="1"/>
    </w:pPr>
    <w:rPr>
      <w:rFonts w:eastAsia="Microsoft YaHei UI"/>
      <w:b/>
      <w:bCs/>
      <w:color w:val="44546A" w:themeColor="text2"/>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next w:val="a"/>
    <w:pPr>
      <w:keepNext/>
      <w:keepLines/>
      <w:pBdr>
        <w:bottom w:val="single" w:sz="8" w:space="0" w:color="DAE3F4" w:themeColor="accent1" w:themeTint="33"/>
      </w:pBdr>
      <w:spacing w:after="200" w:line="300" w:lineRule="auto"/>
      <w:outlineLvl w:val="0"/>
    </w:pPr>
    <w:rPr>
      <w:rFonts w:asciiTheme="majorHAnsi" w:eastAsia="Microsoft YaHei UI" w:hAnsiTheme="majorHAnsi" w:cstheme="majorBidi"/>
      <w:color w:val="4874CB" w:themeColor="accent1"/>
      <w:kern w:val="0"/>
      <w:sz w:val="36"/>
      <w:szCs w:val="36"/>
      <w:lang w:eastAsia="ja-JP"/>
    </w:rPr>
  </w:style>
  <w:style w:type="character" w:customStyle="1" w:styleId="20">
    <w:name w:val="标题 2 字符"/>
    <w:basedOn w:val="a0"/>
    <w:link w:val="2"/>
    <w:uiPriority w:val="9"/>
    <w:qFormat/>
    <w:rPr>
      <w:rFonts w:asciiTheme="minorHAnsi" w:eastAsia="Microsoft YaHei UI" w:hAnsiTheme="minorHAnsi"/>
      <w:b/>
      <w:bCs/>
      <w:color w:val="44546A" w:themeColor="text2"/>
      <w:kern w:val="0"/>
      <w:sz w:val="26"/>
      <w:szCs w:val="26"/>
      <w:lang w:eastAsia="ja-JP"/>
    </w:rPr>
  </w:style>
  <w:style w:type="paragraph" w:styleId="a3">
    <w:name w:val="header"/>
    <w:basedOn w:val="a"/>
    <w:link w:val="a4"/>
    <w:rsid w:val="002F446B"/>
    <w:pPr>
      <w:tabs>
        <w:tab w:val="center" w:pos="4153"/>
        <w:tab w:val="right" w:pos="8306"/>
      </w:tabs>
      <w:snapToGrid w:val="0"/>
      <w:jc w:val="center"/>
    </w:pPr>
  </w:style>
  <w:style w:type="character" w:customStyle="1" w:styleId="a4">
    <w:name w:val="页眉 字符"/>
    <w:basedOn w:val="a0"/>
    <w:link w:val="a3"/>
    <w:rsid w:val="002F446B"/>
    <w:rPr>
      <w:kern w:val="2"/>
      <w:sz w:val="18"/>
      <w:szCs w:val="18"/>
    </w:rPr>
  </w:style>
  <w:style w:type="paragraph" w:styleId="a5">
    <w:name w:val="footer"/>
    <w:basedOn w:val="a"/>
    <w:link w:val="a6"/>
    <w:rsid w:val="002F446B"/>
    <w:pPr>
      <w:tabs>
        <w:tab w:val="center" w:pos="4153"/>
        <w:tab w:val="right" w:pos="8306"/>
      </w:tabs>
      <w:snapToGrid w:val="0"/>
      <w:jc w:val="left"/>
    </w:pPr>
  </w:style>
  <w:style w:type="character" w:customStyle="1" w:styleId="a6">
    <w:name w:val="页脚 字符"/>
    <w:basedOn w:val="a0"/>
    <w:link w:val="a5"/>
    <w:rsid w:val="002F446B"/>
    <w:rPr>
      <w:kern w:val="2"/>
      <w:sz w:val="18"/>
      <w:szCs w:val="18"/>
    </w:rPr>
  </w:style>
  <w:style w:type="paragraph" w:styleId="a7">
    <w:name w:val="List Paragraph"/>
    <w:basedOn w:val="a"/>
    <w:uiPriority w:val="99"/>
    <w:unhideWhenUsed/>
    <w:rsid w:val="00E537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2308">
      <w:bodyDiv w:val="1"/>
      <w:marLeft w:val="0"/>
      <w:marRight w:val="0"/>
      <w:marTop w:val="0"/>
      <w:marBottom w:val="0"/>
      <w:divBdr>
        <w:top w:val="none" w:sz="0" w:space="0" w:color="auto"/>
        <w:left w:val="none" w:sz="0" w:space="0" w:color="auto"/>
        <w:bottom w:val="none" w:sz="0" w:space="0" w:color="auto"/>
        <w:right w:val="none" w:sz="0" w:space="0" w:color="auto"/>
      </w:divBdr>
    </w:div>
    <w:div w:id="951666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9839097960530717E-2"/>
          <c:y val="3.7494679719089166E-2"/>
          <c:w val="0.85359108974839193"/>
          <c:h val="0.72586188550755482"/>
        </c:manualLayout>
      </c:layout>
      <c:lineChart>
        <c:grouping val="standard"/>
        <c:varyColors val="0"/>
        <c:ser>
          <c:idx val="0"/>
          <c:order val="0"/>
          <c:tx>
            <c:strRef>
              <c:f>Sheet1!$B$1</c:f>
              <c:strCache>
                <c:ptCount val="1"/>
                <c:pt idx="0">
                  <c:v>上游地区</c:v>
                </c:pt>
              </c:strCache>
            </c:strRef>
          </c:tx>
          <c:spPr>
            <a:ln w="9525" cap="rnd">
              <a:solidFill>
                <a:schemeClr val="accent1"/>
              </a:solidFill>
              <a:round/>
            </a:ln>
            <a:effectLst/>
          </c:spPr>
          <c:marker>
            <c:symbol val="triangle"/>
            <c:size val="2"/>
            <c:spPr>
              <a:solidFill>
                <a:schemeClr val="accent1"/>
              </a:solidFill>
              <a:ln w="9525">
                <a:solidFill>
                  <a:schemeClr val="accent1"/>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Sheet1!$B$2:$B$12</c:f>
              <c:numCache>
                <c:formatCode>General</c:formatCode>
                <c:ptCount val="11"/>
                <c:pt idx="0">
                  <c:v>0.27681337492450259</c:v>
                </c:pt>
                <c:pt idx="1">
                  <c:v>0.27102119403182812</c:v>
                </c:pt>
                <c:pt idx="2">
                  <c:v>0.25145221953461488</c:v>
                </c:pt>
                <c:pt idx="3">
                  <c:v>0.2293699144079975</c:v>
                </c:pt>
                <c:pt idx="4">
                  <c:v>0.24947707166165051</c:v>
                </c:pt>
                <c:pt idx="5">
                  <c:v>0.2322638143687035</c:v>
                </c:pt>
                <c:pt idx="6">
                  <c:v>0.22724922880540971</c:v>
                </c:pt>
                <c:pt idx="7">
                  <c:v>0.42501579652059079</c:v>
                </c:pt>
                <c:pt idx="8">
                  <c:v>0.3919375776897645</c:v>
                </c:pt>
                <c:pt idx="9">
                  <c:v>0.37558834530244728</c:v>
                </c:pt>
                <c:pt idx="10">
                  <c:v>0.36443095048197188</c:v>
                </c:pt>
              </c:numCache>
            </c:numRef>
          </c:val>
          <c:smooth val="0"/>
          <c:extLst>
            <c:ext xmlns:c16="http://schemas.microsoft.com/office/drawing/2014/chart" uri="{C3380CC4-5D6E-409C-BE32-E72D297353CC}">
              <c16:uniqueId val="{00000000-1776-4495-B3C0-012F6E767B58}"/>
            </c:ext>
          </c:extLst>
        </c:ser>
        <c:ser>
          <c:idx val="1"/>
          <c:order val="1"/>
          <c:tx>
            <c:strRef>
              <c:f>Sheet1!$C$1</c:f>
              <c:strCache>
                <c:ptCount val="1"/>
                <c:pt idx="0">
                  <c:v>中游地区</c:v>
                </c:pt>
              </c:strCache>
            </c:strRef>
          </c:tx>
          <c:spPr>
            <a:ln w="9525" cap="rnd">
              <a:solidFill>
                <a:schemeClr val="accent2"/>
              </a:solidFill>
              <a:round/>
            </a:ln>
            <a:effectLst/>
          </c:spPr>
          <c:marker>
            <c:symbol val="diamond"/>
            <c:size val="2"/>
            <c:spPr>
              <a:solidFill>
                <a:schemeClr val="accent2"/>
              </a:solidFill>
              <a:ln w="9525">
                <a:solidFill>
                  <a:schemeClr val="accent2"/>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Sheet1!$C$2:$C$12</c:f>
              <c:numCache>
                <c:formatCode>General</c:formatCode>
                <c:ptCount val="11"/>
                <c:pt idx="0">
                  <c:v>0.20093490638415501</c:v>
                </c:pt>
                <c:pt idx="1">
                  <c:v>0.19420445156485031</c:v>
                </c:pt>
                <c:pt idx="2">
                  <c:v>0.2022115533469159</c:v>
                </c:pt>
                <c:pt idx="3">
                  <c:v>0.2106560368929776</c:v>
                </c:pt>
                <c:pt idx="4">
                  <c:v>0.20046401387809229</c:v>
                </c:pt>
                <c:pt idx="5">
                  <c:v>0.20244591947413529</c:v>
                </c:pt>
                <c:pt idx="6">
                  <c:v>0.23618607496508881</c:v>
                </c:pt>
                <c:pt idx="7">
                  <c:v>0.23387481988025141</c:v>
                </c:pt>
                <c:pt idx="8">
                  <c:v>0.2231273327519748</c:v>
                </c:pt>
                <c:pt idx="9">
                  <c:v>0.27653142067733399</c:v>
                </c:pt>
                <c:pt idx="10">
                  <c:v>0.2780397798535213</c:v>
                </c:pt>
              </c:numCache>
            </c:numRef>
          </c:val>
          <c:smooth val="0"/>
          <c:extLst>
            <c:ext xmlns:c16="http://schemas.microsoft.com/office/drawing/2014/chart" uri="{C3380CC4-5D6E-409C-BE32-E72D297353CC}">
              <c16:uniqueId val="{00000001-1776-4495-B3C0-012F6E767B58}"/>
            </c:ext>
          </c:extLst>
        </c:ser>
        <c:ser>
          <c:idx val="2"/>
          <c:order val="2"/>
          <c:tx>
            <c:strRef>
              <c:f>Sheet1!$D$1</c:f>
              <c:strCache>
                <c:ptCount val="1"/>
                <c:pt idx="0">
                  <c:v>下游地区</c:v>
                </c:pt>
              </c:strCache>
            </c:strRef>
          </c:tx>
          <c:spPr>
            <a:ln w="9525" cap="rnd">
              <a:solidFill>
                <a:schemeClr val="accent3"/>
              </a:solidFill>
              <a:round/>
            </a:ln>
            <a:effectLst/>
          </c:spPr>
          <c:marker>
            <c:symbol val="x"/>
            <c:size val="2"/>
            <c:spPr>
              <a:noFill/>
              <a:ln w="9525">
                <a:solidFill>
                  <a:schemeClr val="accent3"/>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Sheet1!$D$2:$D$12</c:f>
              <c:numCache>
                <c:formatCode>General</c:formatCode>
                <c:ptCount val="11"/>
                <c:pt idx="0">
                  <c:v>0.16223018429581529</c:v>
                </c:pt>
                <c:pt idx="1">
                  <c:v>0.18795491564758021</c:v>
                </c:pt>
                <c:pt idx="2">
                  <c:v>0.1850062345256786</c:v>
                </c:pt>
                <c:pt idx="3">
                  <c:v>0.1981428105040875</c:v>
                </c:pt>
                <c:pt idx="4">
                  <c:v>0.2047078692826732</c:v>
                </c:pt>
                <c:pt idx="5">
                  <c:v>0.2220422669293787</c:v>
                </c:pt>
                <c:pt idx="6">
                  <c:v>0.2136475905159668</c:v>
                </c:pt>
                <c:pt idx="7">
                  <c:v>0.23170061151837809</c:v>
                </c:pt>
                <c:pt idx="8">
                  <c:v>0.23482188284746811</c:v>
                </c:pt>
                <c:pt idx="9">
                  <c:v>0.23759455991565781</c:v>
                </c:pt>
                <c:pt idx="10">
                  <c:v>0.25436897769522482</c:v>
                </c:pt>
              </c:numCache>
            </c:numRef>
          </c:val>
          <c:smooth val="0"/>
          <c:extLst>
            <c:ext xmlns:c16="http://schemas.microsoft.com/office/drawing/2014/chart" uri="{C3380CC4-5D6E-409C-BE32-E72D297353CC}">
              <c16:uniqueId val="{00000002-1776-4495-B3C0-012F6E767B58}"/>
            </c:ext>
          </c:extLst>
        </c:ser>
        <c:dLbls>
          <c:showLegendKey val="0"/>
          <c:showVal val="0"/>
          <c:showCatName val="0"/>
          <c:showSerName val="0"/>
          <c:showPercent val="0"/>
          <c:showBubbleSize val="0"/>
        </c:dLbls>
        <c:marker val="1"/>
        <c:smooth val="0"/>
        <c:axId val="723638816"/>
        <c:axId val="723639176"/>
      </c:lineChart>
      <c:catAx>
        <c:axId val="72363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723639176"/>
        <c:crosses val="autoZero"/>
        <c:auto val="1"/>
        <c:lblAlgn val="ctr"/>
        <c:lblOffset val="100"/>
        <c:noMultiLvlLbl val="0"/>
      </c:catAx>
      <c:valAx>
        <c:axId val="723639176"/>
        <c:scaling>
          <c:orientation val="minMax"/>
          <c:max val="0.45"/>
          <c:min val="0.15000000000000002"/>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0"/>
          <a:lstStyle/>
          <a:p>
            <a:pPr>
              <a:defRPr sz="5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723638816"/>
        <c:crosses val="autoZero"/>
        <c:crossBetween val="between"/>
      </c:valAx>
      <c:spPr>
        <a:noFill/>
        <a:ln>
          <a:noFill/>
        </a:ln>
        <a:effectLst/>
      </c:spPr>
    </c:plotArea>
    <c:legend>
      <c:legendPos val="b"/>
      <c:layout>
        <c:manualLayout>
          <c:xMode val="edge"/>
          <c:yMode val="edge"/>
          <c:x val="9.1115461942932102E-2"/>
          <c:y val="0.84967457615095399"/>
          <c:w val="0.81776880363452797"/>
          <c:h val="0.12580225466086081"/>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54442623606059"/>
          <c:y val="2.6566750957696866E-2"/>
          <c:w val="0.84261801031216277"/>
          <c:h val="0.71173565116987658"/>
        </c:manualLayout>
      </c:layout>
      <c:lineChart>
        <c:grouping val="standard"/>
        <c:varyColors val="0"/>
        <c:ser>
          <c:idx val="0"/>
          <c:order val="0"/>
          <c:tx>
            <c:strRef>
              <c:f>Sheet1!$B$1</c:f>
              <c:strCache>
                <c:ptCount val="1"/>
                <c:pt idx="0">
                  <c:v>重庆市</c:v>
                </c:pt>
              </c:strCache>
            </c:strRef>
          </c:tx>
          <c:spPr>
            <a:ln w="9525" cap="rnd">
              <a:solidFill>
                <a:schemeClr val="accent1"/>
              </a:solidFill>
              <a:round/>
            </a:ln>
            <a:effectLst/>
          </c:spPr>
          <c:marker>
            <c:symbol val="x"/>
            <c:size val="2"/>
            <c:spPr>
              <a:noFill/>
              <a:ln w="9525">
                <a:solidFill>
                  <a:schemeClr val="accent1"/>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Sheet1!$B$2:$B$12</c:f>
              <c:numCache>
                <c:formatCode>General</c:formatCode>
                <c:ptCount val="11"/>
                <c:pt idx="0">
                  <c:v>8.4499690470292904E-2</c:v>
                </c:pt>
                <c:pt idx="1">
                  <c:v>9.2518313678275801E-2</c:v>
                </c:pt>
                <c:pt idx="2">
                  <c:v>7.8462924066192999E-2</c:v>
                </c:pt>
                <c:pt idx="3">
                  <c:v>8.3782406041794905E-2</c:v>
                </c:pt>
                <c:pt idx="4">
                  <c:v>7.5038725315485499E-2</c:v>
                </c:pt>
                <c:pt idx="5">
                  <c:v>6.8674579826917506E-2</c:v>
                </c:pt>
                <c:pt idx="6">
                  <c:v>6.65469370789665E-2</c:v>
                </c:pt>
                <c:pt idx="7">
                  <c:v>6.3690738791797097E-2</c:v>
                </c:pt>
                <c:pt idx="8">
                  <c:v>4.8526142571371299E-2</c:v>
                </c:pt>
                <c:pt idx="9">
                  <c:v>6.3562264224755402E-2</c:v>
                </c:pt>
                <c:pt idx="10">
                  <c:v>7.3114415338583802E-2</c:v>
                </c:pt>
              </c:numCache>
            </c:numRef>
          </c:val>
          <c:smooth val="0"/>
          <c:extLst>
            <c:ext xmlns:c16="http://schemas.microsoft.com/office/drawing/2014/chart" uri="{C3380CC4-5D6E-409C-BE32-E72D297353CC}">
              <c16:uniqueId val="{00000000-462F-4EE5-97D2-7CBE08B5AE31}"/>
            </c:ext>
          </c:extLst>
        </c:ser>
        <c:ser>
          <c:idx val="1"/>
          <c:order val="1"/>
          <c:tx>
            <c:strRef>
              <c:f>Sheet1!$C$1</c:f>
              <c:strCache>
                <c:ptCount val="1"/>
                <c:pt idx="0">
                  <c:v>四川省</c:v>
                </c:pt>
              </c:strCache>
            </c:strRef>
          </c:tx>
          <c:spPr>
            <a:ln w="9525" cap="rnd">
              <a:solidFill>
                <a:schemeClr val="accent2"/>
              </a:solidFill>
              <a:round/>
            </a:ln>
            <a:effectLst/>
          </c:spPr>
          <c:marker>
            <c:symbol val="dash"/>
            <c:size val="2"/>
            <c:spPr>
              <a:solidFill>
                <a:schemeClr val="accent2"/>
              </a:solidFill>
              <a:ln w="9525">
                <a:solidFill>
                  <a:schemeClr val="accent2"/>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Sheet1!$C$2:$C$12</c:f>
              <c:numCache>
                <c:formatCode>General</c:formatCode>
                <c:ptCount val="11"/>
                <c:pt idx="0">
                  <c:v>5.4146080029577999E-2</c:v>
                </c:pt>
                <c:pt idx="1">
                  <c:v>5.6376026464243098E-2</c:v>
                </c:pt>
                <c:pt idx="2">
                  <c:v>6.0780674162777999E-2</c:v>
                </c:pt>
                <c:pt idx="3">
                  <c:v>6.7179259138475195E-2</c:v>
                </c:pt>
                <c:pt idx="4">
                  <c:v>5.4278065815804702E-2</c:v>
                </c:pt>
                <c:pt idx="5">
                  <c:v>5.7353382979048899E-2</c:v>
                </c:pt>
                <c:pt idx="6">
                  <c:v>5.6253611856008398E-2</c:v>
                </c:pt>
                <c:pt idx="7">
                  <c:v>5.9344415973577001E-2</c:v>
                </c:pt>
                <c:pt idx="8">
                  <c:v>6.1164872553564398E-2</c:v>
                </c:pt>
                <c:pt idx="9">
                  <c:v>5.8720808442446301E-2</c:v>
                </c:pt>
                <c:pt idx="10">
                  <c:v>5.9323914614176902E-2</c:v>
                </c:pt>
              </c:numCache>
            </c:numRef>
          </c:val>
          <c:smooth val="0"/>
          <c:extLst>
            <c:ext xmlns:c16="http://schemas.microsoft.com/office/drawing/2014/chart" uri="{C3380CC4-5D6E-409C-BE32-E72D297353CC}">
              <c16:uniqueId val="{00000001-462F-4EE5-97D2-7CBE08B5AE31}"/>
            </c:ext>
          </c:extLst>
        </c:ser>
        <c:ser>
          <c:idx val="2"/>
          <c:order val="2"/>
          <c:tx>
            <c:strRef>
              <c:f>Sheet1!$D$1</c:f>
              <c:strCache>
                <c:ptCount val="1"/>
                <c:pt idx="0">
                  <c:v>贵州省</c:v>
                </c:pt>
              </c:strCache>
            </c:strRef>
          </c:tx>
          <c:spPr>
            <a:ln w="9525" cap="rnd">
              <a:solidFill>
                <a:schemeClr val="accent3"/>
              </a:solidFill>
              <a:round/>
            </a:ln>
            <a:effectLst/>
          </c:spPr>
          <c:marker>
            <c:symbol val="triangle"/>
            <c:size val="2"/>
            <c:spPr>
              <a:solidFill>
                <a:schemeClr val="accent3"/>
              </a:solidFill>
              <a:ln w="9525">
                <a:solidFill>
                  <a:schemeClr val="accent3"/>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Sheet1!$D$2:$D$12</c:f>
              <c:numCache>
                <c:formatCode>General</c:formatCode>
                <c:ptCount val="11"/>
                <c:pt idx="0">
                  <c:v>0.10323421338484801</c:v>
                </c:pt>
                <c:pt idx="1">
                  <c:v>8.0947759476004494E-2</c:v>
                </c:pt>
                <c:pt idx="2">
                  <c:v>7.1744148772256294E-2</c:v>
                </c:pt>
                <c:pt idx="3">
                  <c:v>2.8811077081680601E-2</c:v>
                </c:pt>
                <c:pt idx="4">
                  <c:v>7.2876023740953894E-2</c:v>
                </c:pt>
                <c:pt idx="5">
                  <c:v>6.6524809055253598E-2</c:v>
                </c:pt>
                <c:pt idx="6">
                  <c:v>6.2485522836348402E-2</c:v>
                </c:pt>
                <c:pt idx="7">
                  <c:v>5.75016091594137E-2</c:v>
                </c:pt>
                <c:pt idx="8">
                  <c:v>5.5809839794799802E-2</c:v>
                </c:pt>
                <c:pt idx="9">
                  <c:v>5.4988859534698599E-2</c:v>
                </c:pt>
                <c:pt idx="10">
                  <c:v>5.81105963814302E-2</c:v>
                </c:pt>
              </c:numCache>
            </c:numRef>
          </c:val>
          <c:smooth val="0"/>
          <c:extLst>
            <c:ext xmlns:c16="http://schemas.microsoft.com/office/drawing/2014/chart" uri="{C3380CC4-5D6E-409C-BE32-E72D297353CC}">
              <c16:uniqueId val="{00000002-462F-4EE5-97D2-7CBE08B5AE31}"/>
            </c:ext>
          </c:extLst>
        </c:ser>
        <c:ser>
          <c:idx val="3"/>
          <c:order val="3"/>
          <c:tx>
            <c:strRef>
              <c:f>Sheet1!$E$1</c:f>
              <c:strCache>
                <c:ptCount val="1"/>
                <c:pt idx="0">
                  <c:v>云南省</c:v>
                </c:pt>
              </c:strCache>
            </c:strRef>
          </c:tx>
          <c:spPr>
            <a:ln w="9525" cap="rnd">
              <a:solidFill>
                <a:schemeClr val="accent4"/>
              </a:solidFill>
              <a:round/>
            </a:ln>
            <a:effectLst/>
          </c:spPr>
          <c:marker>
            <c:symbol val="circle"/>
            <c:size val="2"/>
            <c:spPr>
              <a:solidFill>
                <a:schemeClr val="accent4"/>
              </a:solidFill>
              <a:ln w="9525">
                <a:solidFill>
                  <a:schemeClr val="accent4"/>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Sheet1!$E$2:$E$12</c:f>
              <c:numCache>
                <c:formatCode>General</c:formatCode>
                <c:ptCount val="11"/>
                <c:pt idx="0">
                  <c:v>3.4933391039783698E-2</c:v>
                </c:pt>
                <c:pt idx="1">
                  <c:v>4.1179094413304702E-2</c:v>
                </c:pt>
                <c:pt idx="2">
                  <c:v>4.0464472533387599E-2</c:v>
                </c:pt>
                <c:pt idx="3">
                  <c:v>4.9597172146046802E-2</c:v>
                </c:pt>
                <c:pt idx="4">
                  <c:v>4.7284256789406398E-2</c:v>
                </c:pt>
                <c:pt idx="5">
                  <c:v>3.9711042507483502E-2</c:v>
                </c:pt>
                <c:pt idx="6">
                  <c:v>4.1963157034086401E-2</c:v>
                </c:pt>
                <c:pt idx="7">
                  <c:v>0.244479032595803</c:v>
                </c:pt>
                <c:pt idx="8">
                  <c:v>0.22643672277002899</c:v>
                </c:pt>
                <c:pt idx="9">
                  <c:v>0.19831641310054701</c:v>
                </c:pt>
                <c:pt idx="10">
                  <c:v>0.17388202414778101</c:v>
                </c:pt>
              </c:numCache>
            </c:numRef>
          </c:val>
          <c:smooth val="0"/>
          <c:extLst>
            <c:ext xmlns:c16="http://schemas.microsoft.com/office/drawing/2014/chart" uri="{C3380CC4-5D6E-409C-BE32-E72D297353CC}">
              <c16:uniqueId val="{00000003-462F-4EE5-97D2-7CBE08B5AE31}"/>
            </c:ext>
          </c:extLst>
        </c:ser>
        <c:dLbls>
          <c:showLegendKey val="0"/>
          <c:showVal val="0"/>
          <c:showCatName val="0"/>
          <c:showSerName val="0"/>
          <c:showPercent val="0"/>
          <c:showBubbleSize val="0"/>
        </c:dLbls>
        <c:marker val="1"/>
        <c:smooth val="0"/>
        <c:axId val="428358160"/>
        <c:axId val="428366800"/>
      </c:lineChart>
      <c:catAx>
        <c:axId val="42835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ln>
                  <a:noFill/>
                </a:ln>
                <a:solidFill>
                  <a:schemeClr val="tx1"/>
                </a:solidFill>
                <a:latin typeface="+mn-lt"/>
                <a:ea typeface="+mn-ea"/>
                <a:cs typeface="+mn-cs"/>
              </a:defRPr>
            </a:pPr>
            <a:endParaRPr lang="zh-CN"/>
          </a:p>
        </c:txPr>
        <c:crossAx val="428366800"/>
        <c:crosses val="autoZero"/>
        <c:auto val="1"/>
        <c:lblAlgn val="ctr"/>
        <c:lblOffset val="100"/>
        <c:noMultiLvlLbl val="0"/>
      </c:catAx>
      <c:valAx>
        <c:axId val="428366800"/>
        <c:scaling>
          <c:orientation val="minMax"/>
          <c:max val="0.25"/>
          <c:min val="2.0000000000000004E-2"/>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ln>
                  <a:noFill/>
                </a:ln>
                <a:solidFill>
                  <a:schemeClr val="tx1"/>
                </a:solidFill>
                <a:latin typeface="+mn-lt"/>
                <a:ea typeface="+mn-ea"/>
                <a:cs typeface="+mn-cs"/>
              </a:defRPr>
            </a:pPr>
            <a:endParaRPr lang="zh-CN"/>
          </a:p>
        </c:txPr>
        <c:crossAx val="428358160"/>
        <c:crosses val="autoZero"/>
        <c:crossBetween val="between"/>
      </c:valAx>
      <c:spPr>
        <a:noFill/>
        <a:ln>
          <a:noFill/>
        </a:ln>
        <a:effectLst/>
      </c:spPr>
    </c:plotArea>
    <c:legend>
      <c:legendPos val="b"/>
      <c:layout>
        <c:manualLayout>
          <c:xMode val="edge"/>
          <c:yMode val="edge"/>
          <c:x val="4.9999999999999996E-2"/>
          <c:y val="0.87014623172103478"/>
          <c:w val="0.9"/>
          <c:h val="0.12985376827896514"/>
        </c:manualLayout>
      </c:layout>
      <c:overlay val="0"/>
      <c:spPr>
        <a:noFill/>
        <a:ln>
          <a:noFill/>
        </a:ln>
        <a:effectLst/>
      </c:spPr>
      <c:txPr>
        <a:bodyPr rot="0" spcFirstLastPara="1" vertOverflow="ellipsis" vert="horz" wrap="square" anchor="ctr" anchorCtr="1"/>
        <a:lstStyle/>
        <a:p>
          <a:pPr>
            <a:defRPr sz="500" b="0" i="0" u="none" strike="noStrike" kern="1200" baseline="0">
              <a:ln>
                <a:noFill/>
              </a:ln>
              <a:solidFill>
                <a:schemeClr val="tx1"/>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500" baseline="0">
          <a:ln>
            <a:noFill/>
          </a:ln>
          <a:solidFill>
            <a:schemeClr val="tx1"/>
          </a:solidFill>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676206083376646E-2"/>
          <c:y val="3.9954865454902247E-2"/>
          <c:w val="0.85548623046484673"/>
          <c:h val="0.72016738272827463"/>
        </c:manualLayout>
      </c:layout>
      <c:lineChart>
        <c:grouping val="standard"/>
        <c:varyColors val="0"/>
        <c:ser>
          <c:idx val="0"/>
          <c:order val="0"/>
          <c:tx>
            <c:strRef>
              <c:f>Sheet1!$B$1</c:f>
              <c:strCache>
                <c:ptCount val="1"/>
                <c:pt idx="0">
                  <c:v>上游地区</c:v>
                </c:pt>
              </c:strCache>
            </c:strRef>
          </c:tx>
          <c:spPr>
            <a:ln w="9525" cap="rnd">
              <a:solidFill>
                <a:schemeClr val="accent1"/>
              </a:solidFill>
              <a:round/>
            </a:ln>
            <a:effectLst/>
          </c:spPr>
          <c:marker>
            <c:symbol val="triangle"/>
            <c:size val="2"/>
            <c:spPr>
              <a:solidFill>
                <a:schemeClr val="accent1"/>
              </a:solidFill>
              <a:ln w="9525">
                <a:solidFill>
                  <a:schemeClr val="accent1"/>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Sheet1!$B$2:$B$12</c:f>
              <c:numCache>
                <c:formatCode>General</c:formatCode>
                <c:ptCount val="11"/>
                <c:pt idx="0">
                  <c:v>1.6057189999999999</c:v>
                </c:pt>
                <c:pt idx="1">
                  <c:v>1.6897800000000001</c:v>
                </c:pt>
                <c:pt idx="2">
                  <c:v>1.6138980000000001</c:v>
                </c:pt>
                <c:pt idx="3">
                  <c:v>1.5838460000000001</c:v>
                </c:pt>
                <c:pt idx="4">
                  <c:v>1.4837320000000001</c:v>
                </c:pt>
                <c:pt idx="5">
                  <c:v>1.452456</c:v>
                </c:pt>
                <c:pt idx="6">
                  <c:v>1.4272290000000001</c:v>
                </c:pt>
                <c:pt idx="7">
                  <c:v>1.373405</c:v>
                </c:pt>
                <c:pt idx="8">
                  <c:v>1.316667</c:v>
                </c:pt>
                <c:pt idx="9">
                  <c:v>1.2419830000000001</c:v>
                </c:pt>
                <c:pt idx="10">
                  <c:v>1.1672979999999999</c:v>
                </c:pt>
              </c:numCache>
            </c:numRef>
          </c:val>
          <c:smooth val="0"/>
          <c:extLst>
            <c:ext xmlns:c16="http://schemas.microsoft.com/office/drawing/2014/chart" uri="{C3380CC4-5D6E-409C-BE32-E72D297353CC}">
              <c16:uniqueId val="{00000000-319F-42FA-AEA3-CCD51EE4FE4A}"/>
            </c:ext>
          </c:extLst>
        </c:ser>
        <c:ser>
          <c:idx val="1"/>
          <c:order val="1"/>
          <c:tx>
            <c:strRef>
              <c:f>Sheet1!$C$1</c:f>
              <c:strCache>
                <c:ptCount val="1"/>
                <c:pt idx="0">
                  <c:v>中游地区</c:v>
                </c:pt>
              </c:strCache>
            </c:strRef>
          </c:tx>
          <c:spPr>
            <a:ln w="9525" cap="rnd">
              <a:solidFill>
                <a:schemeClr val="accent2"/>
              </a:solidFill>
              <a:round/>
            </a:ln>
            <a:effectLst/>
          </c:spPr>
          <c:marker>
            <c:symbol val="diamond"/>
            <c:size val="2"/>
            <c:spPr>
              <a:solidFill>
                <a:schemeClr val="accent2"/>
              </a:solidFill>
              <a:ln w="9525">
                <a:solidFill>
                  <a:schemeClr val="accent2"/>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Sheet1!$C$2:$C$12</c:f>
              <c:numCache>
                <c:formatCode>General</c:formatCode>
                <c:ptCount val="11"/>
                <c:pt idx="0">
                  <c:v>2.8655714579999998</c:v>
                </c:pt>
                <c:pt idx="1">
                  <c:v>2.9307237939999999</c:v>
                </c:pt>
                <c:pt idx="2">
                  <c:v>2.750475641</c:v>
                </c:pt>
                <c:pt idx="3">
                  <c:v>2.730896676</c:v>
                </c:pt>
                <c:pt idx="4">
                  <c:v>2.630534897</c:v>
                </c:pt>
                <c:pt idx="5">
                  <c:v>2.5723289889999998</c:v>
                </c:pt>
                <c:pt idx="6">
                  <c:v>2.5030591250000001</c:v>
                </c:pt>
                <c:pt idx="7">
                  <c:v>2.4842322430000001</c:v>
                </c:pt>
                <c:pt idx="8">
                  <c:v>2.478977467</c:v>
                </c:pt>
                <c:pt idx="9">
                  <c:v>2.4124831950000001</c:v>
                </c:pt>
                <c:pt idx="10">
                  <c:v>2.3459889299999999</c:v>
                </c:pt>
              </c:numCache>
            </c:numRef>
          </c:val>
          <c:smooth val="0"/>
          <c:extLst>
            <c:ext xmlns:c16="http://schemas.microsoft.com/office/drawing/2014/chart" uri="{C3380CC4-5D6E-409C-BE32-E72D297353CC}">
              <c16:uniqueId val="{00000001-319F-42FA-AEA3-CCD51EE4FE4A}"/>
            </c:ext>
          </c:extLst>
        </c:ser>
        <c:ser>
          <c:idx val="2"/>
          <c:order val="2"/>
          <c:tx>
            <c:strRef>
              <c:f>Sheet1!$D$1</c:f>
              <c:strCache>
                <c:ptCount val="1"/>
                <c:pt idx="0">
                  <c:v>下游地区</c:v>
                </c:pt>
              </c:strCache>
            </c:strRef>
          </c:tx>
          <c:spPr>
            <a:ln w="9525" cap="rnd">
              <a:solidFill>
                <a:schemeClr val="accent3"/>
              </a:solidFill>
              <a:round/>
            </a:ln>
            <a:effectLst/>
          </c:spPr>
          <c:marker>
            <c:symbol val="x"/>
            <c:size val="2"/>
            <c:spPr>
              <a:noFill/>
              <a:ln w="9525">
                <a:solidFill>
                  <a:schemeClr val="accent3"/>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Sheet1!$D$2:$D$12</c:f>
              <c:numCache>
                <c:formatCode>General</c:formatCode>
                <c:ptCount val="11"/>
                <c:pt idx="0">
                  <c:v>2.7645607050000001</c:v>
                </c:pt>
                <c:pt idx="1">
                  <c:v>2.675016984</c:v>
                </c:pt>
                <c:pt idx="2">
                  <c:v>2.5698897459999999</c:v>
                </c:pt>
                <c:pt idx="3">
                  <c:v>2.6908196270000002</c:v>
                </c:pt>
                <c:pt idx="4">
                  <c:v>2.4613430799999998</c:v>
                </c:pt>
                <c:pt idx="5">
                  <c:v>2.3316221829999999</c:v>
                </c:pt>
                <c:pt idx="6">
                  <c:v>2.2722973290000001</c:v>
                </c:pt>
                <c:pt idx="7">
                  <c:v>2.2091052000000002</c:v>
                </c:pt>
                <c:pt idx="8">
                  <c:v>2.0078986780000001</c:v>
                </c:pt>
                <c:pt idx="9">
                  <c:v>1.947562072</c:v>
                </c:pt>
                <c:pt idx="10">
                  <c:v>1.88722546</c:v>
                </c:pt>
              </c:numCache>
            </c:numRef>
          </c:val>
          <c:smooth val="0"/>
          <c:extLst>
            <c:ext xmlns:c16="http://schemas.microsoft.com/office/drawing/2014/chart" uri="{C3380CC4-5D6E-409C-BE32-E72D297353CC}">
              <c16:uniqueId val="{00000002-319F-42FA-AEA3-CCD51EE4FE4A}"/>
            </c:ext>
          </c:extLst>
        </c:ser>
        <c:dLbls>
          <c:showLegendKey val="0"/>
          <c:showVal val="0"/>
          <c:showCatName val="0"/>
          <c:showSerName val="0"/>
          <c:showPercent val="0"/>
          <c:showBubbleSize val="0"/>
        </c:dLbls>
        <c:marker val="1"/>
        <c:smooth val="0"/>
        <c:axId val="313092504"/>
        <c:axId val="313089264"/>
      </c:lineChart>
      <c:catAx>
        <c:axId val="313092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313089264"/>
        <c:crossesAt val="0.30000000000000004"/>
        <c:auto val="1"/>
        <c:lblAlgn val="ctr"/>
        <c:lblOffset val="100"/>
        <c:noMultiLvlLbl val="0"/>
      </c:catAx>
      <c:valAx>
        <c:axId val="313089264"/>
        <c:scaling>
          <c:orientation val="minMax"/>
          <c:max val="3"/>
          <c:min val="1.100000000000000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313092504"/>
        <c:crosses val="autoZero"/>
        <c:crossBetween val="between"/>
        <c:majorUnit val="0.2"/>
        <c:minorUnit val="0.1"/>
      </c:valAx>
      <c:spPr>
        <a:noFill/>
        <a:ln>
          <a:noFill/>
        </a:ln>
        <a:effectLst/>
      </c:spPr>
    </c:plotArea>
    <c:legend>
      <c:legendPos val="b"/>
      <c:layout>
        <c:manualLayout>
          <c:xMode val="edge"/>
          <c:yMode val="edge"/>
          <c:x val="3.6066119797960518E-2"/>
          <c:y val="0.86906778894017567"/>
          <c:w val="0.89141088470466856"/>
          <c:h val="0.1309322110598244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WPS_1646554341</dc:creator>
  <cp:lastModifiedBy>维克多 霍阿卡迪奥</cp:lastModifiedBy>
  <cp:revision>10</cp:revision>
  <dcterms:created xsi:type="dcterms:W3CDTF">2023-12-19T07:00:00Z</dcterms:created>
  <dcterms:modified xsi:type="dcterms:W3CDTF">2023-12-19T20:59:00Z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3253FF8E6264432AB73FEE3E3E3245A0_11</vt:lpwstr>
  </property>
</Properties>
</file>