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F93E7" w14:textId="77777777" w:rsidR="00A47E64" w:rsidRPr="00A47E64" w:rsidRDefault="00A47E64" w:rsidP="00A47E64">
      <w:pPr>
        <w:rPr>
          <w:b/>
          <w:bCs/>
        </w:rPr>
      </w:pPr>
      <w:r w:rsidRPr="00A47E64">
        <w:rPr>
          <w:b/>
          <w:bCs/>
        </w:rPr>
        <w:t>Introduction</w:t>
      </w:r>
    </w:p>
    <w:p w14:paraId="0479C583" w14:textId="1B3276B6" w:rsidR="00A47E64" w:rsidRPr="00A47E64" w:rsidRDefault="00A47E64" w:rsidP="00A47E64">
      <w:r w:rsidRPr="00A47E64">
        <w:t>Breast cancer remains one of the leading causes of morbidity and mortality globally, with approximately 2.3 million new cases and 670,000 deaths reported in 2022. Despite advances in early detection and treatment, metastatic recurrence continues to drive most breast cancer</w:t>
      </w:r>
      <w:r>
        <w:t xml:space="preserve"> </w:t>
      </w:r>
      <w:r w:rsidRPr="00A47E64">
        <w:t>related deaths. A major contributor to this challenge is the molecular heterogeneity seen across subtypes such as triple-negative, luminal A/B, and HER2-enriched cancers.</w:t>
      </w:r>
    </w:p>
    <w:p w14:paraId="4E9AD5BB" w14:textId="77777777" w:rsidR="00A47E64" w:rsidRPr="00A47E64" w:rsidRDefault="00A47E64" w:rsidP="00A47E64">
      <w:r w:rsidRPr="00A47E64">
        <w:t>A critical feature of breast cancer progression is its ability to disseminate and recur, which is strongly influenced by the tumor microenvironment. Increasing evidence highlights the role of the microbiome within this environment, where microbial interactions contribute to immunosuppression, angiogenesis, extracellular matrix remodeling, and metabolic shifts. These processes are mediated through molecular pathways such as MAPK and NF-</w:t>
      </w:r>
      <w:proofErr w:type="spellStart"/>
      <w:r w:rsidRPr="00A47E64">
        <w:t>κB</w:t>
      </w:r>
      <w:proofErr w:type="spellEnd"/>
      <w:r w:rsidRPr="00A47E64">
        <w:t>, ultimately influencing whether cancer becomes metastatic.</w:t>
      </w:r>
    </w:p>
    <w:p w14:paraId="2506480B" w14:textId="4CC98760" w:rsidR="00A47E64" w:rsidRPr="00A47E64" w:rsidRDefault="00A47E64" w:rsidP="00A47E64">
      <w:r w:rsidRPr="00A47E64">
        <w:t>The reviewed work focuses on leveraging microbiota and nanotechnology</w:t>
      </w:r>
      <w:r>
        <w:t xml:space="preserve"> </w:t>
      </w:r>
      <w:r w:rsidRPr="00A47E64">
        <w:t>particularly nanoparticle-based delivery systems</w:t>
      </w:r>
      <w:r>
        <w:t xml:space="preserve"> </w:t>
      </w:r>
      <w:r w:rsidRPr="00A47E64">
        <w:t xml:space="preserve">to target these tumor–microbiome interactions. Specific microbes such as </w:t>
      </w:r>
      <w:r w:rsidRPr="00A47E64">
        <w:rPr>
          <w:i/>
          <w:iCs/>
        </w:rPr>
        <w:t xml:space="preserve">Fusobacterium </w:t>
      </w:r>
      <w:proofErr w:type="spellStart"/>
      <w:r w:rsidRPr="00A47E64">
        <w:rPr>
          <w:i/>
          <w:iCs/>
        </w:rPr>
        <w:t>nucleatum</w:t>
      </w:r>
      <w:proofErr w:type="spellEnd"/>
      <w:r w:rsidRPr="00A47E64">
        <w:t>, frequently found in breast cancer tissue, are associated with poor prognosis. The paper explores innovative approaches including antimicrobial nanoparticles, liquid biopsy integration, and traditional medicine-inspired nano-systems to improve therapeutic outcomes.</w:t>
      </w:r>
    </w:p>
    <w:p w14:paraId="7D06910E" w14:textId="77777777" w:rsidR="00A47E64" w:rsidRPr="00A47E64" w:rsidRDefault="00A47E64" w:rsidP="00A47E64">
      <w:r w:rsidRPr="00A47E64">
        <w:pict w14:anchorId="72091027">
          <v:rect id="_x0000_i1061" style="width:0;height:1.5pt" o:hralign="center" o:hrstd="t" o:hr="t" fillcolor="#a0a0a0" stroked="f"/>
        </w:pict>
      </w:r>
    </w:p>
    <w:p w14:paraId="7FF7B5BA" w14:textId="77777777" w:rsidR="00A47E64" w:rsidRPr="00A47E64" w:rsidRDefault="00A47E64" w:rsidP="00A47E64">
      <w:pPr>
        <w:rPr>
          <w:b/>
          <w:bCs/>
        </w:rPr>
      </w:pPr>
      <w:r w:rsidRPr="00A47E64">
        <w:rPr>
          <w:b/>
          <w:bCs/>
        </w:rPr>
        <w:t>Methodology</w:t>
      </w:r>
    </w:p>
    <w:p w14:paraId="5D039349" w14:textId="77777777" w:rsidR="00A47E64" w:rsidRPr="00A47E64" w:rsidRDefault="00A47E64" w:rsidP="00A47E64">
      <w:r w:rsidRPr="00A47E64">
        <w:t>The study is a comprehensive narrative review drawing from literature indexed in PubMed, Scopus, and Web of Science. It primarily includes studies published between 2015 and 2025, with select foundational studies from around 2010.</w:t>
      </w:r>
    </w:p>
    <w:p w14:paraId="6D3634F4" w14:textId="77777777" w:rsidR="00A47E64" w:rsidRPr="00A47E64" w:rsidRDefault="00A47E64" w:rsidP="00A47E64">
      <w:r w:rsidRPr="00A47E64">
        <w:t>The review synthesizes evidence from preclinical research, including both in vitro and in vivo studies, focusing on antimicrobial delivery, immunomodulation, and tumor suppression in breast cancer.</w:t>
      </w:r>
    </w:p>
    <w:p w14:paraId="539A61E3" w14:textId="77777777" w:rsidR="00A47E64" w:rsidRPr="00A47E64" w:rsidRDefault="00A47E64" w:rsidP="00A47E64">
      <w:r w:rsidRPr="00A47E64">
        <w:t>Findings are organized based on categories of nano-platforms:</w:t>
      </w:r>
    </w:p>
    <w:p w14:paraId="64AA1502" w14:textId="77777777" w:rsidR="00A47E64" w:rsidRPr="00A47E64" w:rsidRDefault="00A47E64" w:rsidP="00A47E64">
      <w:pPr>
        <w:numPr>
          <w:ilvl w:val="0"/>
          <w:numId w:val="1"/>
        </w:numPr>
      </w:pPr>
      <w:r w:rsidRPr="00A47E64">
        <w:t>Lipid-based nanoparticles</w:t>
      </w:r>
    </w:p>
    <w:p w14:paraId="6BF4DBDE" w14:textId="77777777" w:rsidR="00A47E64" w:rsidRPr="00A47E64" w:rsidRDefault="00A47E64" w:rsidP="00A47E64">
      <w:pPr>
        <w:numPr>
          <w:ilvl w:val="0"/>
          <w:numId w:val="1"/>
        </w:numPr>
      </w:pPr>
      <w:r w:rsidRPr="00A47E64">
        <w:t>Metallic nanoparticles</w:t>
      </w:r>
    </w:p>
    <w:p w14:paraId="2BA3D44D" w14:textId="77777777" w:rsidR="00A47E64" w:rsidRPr="00A47E64" w:rsidRDefault="00A47E64" w:rsidP="00A47E64">
      <w:pPr>
        <w:numPr>
          <w:ilvl w:val="0"/>
          <w:numId w:val="1"/>
        </w:numPr>
      </w:pPr>
      <w:r w:rsidRPr="00A47E64">
        <w:t>Traditional Chinese medicine–inspired nano-systems</w:t>
      </w:r>
    </w:p>
    <w:p w14:paraId="4714632B" w14:textId="77777777" w:rsidR="00A47E64" w:rsidRPr="00A47E64" w:rsidRDefault="00A47E64" w:rsidP="00A47E64">
      <w:r w:rsidRPr="00A47E64">
        <w:lastRenderedPageBreak/>
        <w:t>The review also evaluates how these platforms integrate with existing therapies such as chemotherapy, immunotherapy, radiotherapy, and photothermal therapy. Additionally, it considers ongoing trials, toxicity concerns, and regulatory challenges.</w:t>
      </w:r>
    </w:p>
    <w:p w14:paraId="742D3040" w14:textId="77777777" w:rsidR="00A47E64" w:rsidRPr="00A47E64" w:rsidRDefault="00A47E64" w:rsidP="00A47E64">
      <w:r w:rsidRPr="00A47E64">
        <w:pict w14:anchorId="60BD957D">
          <v:rect id="_x0000_i1062" style="width:0;height:1.5pt" o:hralign="center" o:hrstd="t" o:hr="t" fillcolor="#a0a0a0" stroked="f"/>
        </w:pict>
      </w:r>
    </w:p>
    <w:p w14:paraId="04A0F9F8" w14:textId="77777777" w:rsidR="00A47E64" w:rsidRPr="00A47E64" w:rsidRDefault="00A47E64" w:rsidP="00A47E64">
      <w:pPr>
        <w:rPr>
          <w:b/>
          <w:bCs/>
        </w:rPr>
      </w:pPr>
      <w:r w:rsidRPr="00A47E64">
        <w:rPr>
          <w:b/>
          <w:bCs/>
        </w:rPr>
        <w:t>Key Findings</w:t>
      </w:r>
    </w:p>
    <w:p w14:paraId="2EA2562B" w14:textId="77777777" w:rsidR="00A47E64" w:rsidRPr="00A47E64" w:rsidRDefault="00A47E64" w:rsidP="00A47E64">
      <w:r w:rsidRPr="00A47E64">
        <w:t>Microbiome-targeted nano-platforms demonstrate the ability to:</w:t>
      </w:r>
    </w:p>
    <w:p w14:paraId="24D07681" w14:textId="77777777" w:rsidR="00A47E64" w:rsidRPr="00A47E64" w:rsidRDefault="00A47E64" w:rsidP="00A47E64">
      <w:pPr>
        <w:numPr>
          <w:ilvl w:val="0"/>
          <w:numId w:val="2"/>
        </w:numPr>
      </w:pPr>
      <w:r w:rsidRPr="00A47E64">
        <w:t>Selectively eliminate pathogenic bacteria while preserving beneficial microbiota</w:t>
      </w:r>
    </w:p>
    <w:p w14:paraId="6C5F0642" w14:textId="77777777" w:rsidR="00A47E64" w:rsidRPr="00A47E64" w:rsidRDefault="00A47E64" w:rsidP="00A47E64">
      <w:pPr>
        <w:numPr>
          <w:ilvl w:val="0"/>
          <w:numId w:val="2"/>
        </w:numPr>
      </w:pPr>
      <w:r w:rsidRPr="00A47E64">
        <w:t>Enhance targeted drug delivery and improve synergy with chemotherapy, immunotherapy, and radiotherapy</w:t>
      </w:r>
    </w:p>
    <w:p w14:paraId="147FF230" w14:textId="77777777" w:rsidR="00A47E64" w:rsidRPr="00A47E64" w:rsidRDefault="00A47E64" w:rsidP="00A47E64">
      <w:pPr>
        <w:numPr>
          <w:ilvl w:val="0"/>
          <w:numId w:val="2"/>
        </w:numPr>
      </w:pPr>
      <w:r w:rsidRPr="00A47E64">
        <w:t>Improve tumor control and microenvironment resilience in preclinical models</w:t>
      </w:r>
    </w:p>
    <w:p w14:paraId="0B7AD79C" w14:textId="77777777" w:rsidR="00A47E64" w:rsidRPr="00A47E64" w:rsidRDefault="00A47E64" w:rsidP="00A47E64">
      <w:r w:rsidRPr="00A47E64">
        <w:t>Advanced innovations include:</w:t>
      </w:r>
    </w:p>
    <w:p w14:paraId="02AE29AF" w14:textId="77777777" w:rsidR="00A47E64" w:rsidRPr="00A47E64" w:rsidRDefault="00A47E64" w:rsidP="00A47E64">
      <w:pPr>
        <w:numPr>
          <w:ilvl w:val="0"/>
          <w:numId w:val="3"/>
        </w:numPr>
      </w:pPr>
      <w:r w:rsidRPr="00A47E64">
        <w:t>Bacteria–nanoparticle hybrids that improve drug penetration into hypoxic tumor regions</w:t>
      </w:r>
    </w:p>
    <w:p w14:paraId="6E81BFEA" w14:textId="77777777" w:rsidR="00A47E64" w:rsidRPr="00A47E64" w:rsidRDefault="00A47E64" w:rsidP="00A47E64">
      <w:pPr>
        <w:numPr>
          <w:ilvl w:val="0"/>
          <w:numId w:val="3"/>
        </w:numPr>
      </w:pPr>
      <w:r w:rsidRPr="00A47E64">
        <w:t>pH- and ROS-responsive systems enabling controlled drug release</w:t>
      </w:r>
    </w:p>
    <w:p w14:paraId="02AC6DB3" w14:textId="77777777" w:rsidR="00A47E64" w:rsidRPr="00A47E64" w:rsidRDefault="00A47E64" w:rsidP="00A47E64">
      <w:pPr>
        <w:numPr>
          <w:ilvl w:val="0"/>
          <w:numId w:val="3"/>
        </w:numPr>
      </w:pPr>
      <w:r w:rsidRPr="00A47E64">
        <w:t>Lipid and metallic nano-carriers enhancing drug bioavailability</w:t>
      </w:r>
    </w:p>
    <w:p w14:paraId="2BF90F9F" w14:textId="77777777" w:rsidR="00A47E64" w:rsidRPr="00A47E64" w:rsidRDefault="00A47E64" w:rsidP="00A47E64">
      <w:r w:rsidRPr="00A47E64">
        <w:t>Nanoparticles increase treatment sensitivity, particularly in radiotherapy, by reducing hypoxia-induced resistance and improving tumor cell eradication.</w:t>
      </w:r>
    </w:p>
    <w:p w14:paraId="0CD904F5" w14:textId="77777777" w:rsidR="00A47E64" w:rsidRPr="00A47E64" w:rsidRDefault="00A47E64" w:rsidP="00A47E64">
      <w:r w:rsidRPr="00A47E64">
        <w:t>Microbiome-based strategies also:</w:t>
      </w:r>
    </w:p>
    <w:p w14:paraId="7C9FEC57" w14:textId="77777777" w:rsidR="00A47E64" w:rsidRPr="00A47E64" w:rsidRDefault="00A47E64" w:rsidP="00A47E64">
      <w:pPr>
        <w:numPr>
          <w:ilvl w:val="0"/>
          <w:numId w:val="4"/>
        </w:numPr>
      </w:pPr>
      <w:r w:rsidRPr="00A47E64">
        <w:t>Reprogram the tumor microenvironment</w:t>
      </w:r>
    </w:p>
    <w:p w14:paraId="1E3AAE6F" w14:textId="77777777" w:rsidR="00A47E64" w:rsidRPr="00A47E64" w:rsidRDefault="00A47E64" w:rsidP="00A47E64">
      <w:pPr>
        <w:numPr>
          <w:ilvl w:val="0"/>
          <w:numId w:val="4"/>
        </w:numPr>
      </w:pPr>
      <w:r w:rsidRPr="00A47E64">
        <w:t>Enhance immune responses (e.g., increasing CD8+ T cells and reducing suppressor cells)</w:t>
      </w:r>
    </w:p>
    <w:p w14:paraId="4C42904C" w14:textId="77777777" w:rsidR="00A47E64" w:rsidRPr="00A47E64" w:rsidRDefault="00A47E64" w:rsidP="00A47E64">
      <w:pPr>
        <w:numPr>
          <w:ilvl w:val="0"/>
          <w:numId w:val="4"/>
        </w:numPr>
      </w:pPr>
      <w:r w:rsidRPr="00A47E64">
        <w:t>Improve immune checkpoint therapy outcomes</w:t>
      </w:r>
    </w:p>
    <w:p w14:paraId="30A68163" w14:textId="77777777" w:rsidR="00A47E64" w:rsidRPr="00A47E64" w:rsidRDefault="00A47E64" w:rsidP="00A47E64">
      <w:r w:rsidRPr="00A47E64">
        <w:t>Other notable findings:</w:t>
      </w:r>
    </w:p>
    <w:p w14:paraId="7EBE7B44" w14:textId="77777777" w:rsidR="00A47E64" w:rsidRPr="00A47E64" w:rsidRDefault="00A47E64" w:rsidP="00A47E64">
      <w:pPr>
        <w:numPr>
          <w:ilvl w:val="0"/>
          <w:numId w:val="5"/>
        </w:numPr>
      </w:pPr>
      <w:r w:rsidRPr="00A47E64">
        <w:t>Fecal microbiota transplantation shows potential in improving treatment response in preclinical models</w:t>
      </w:r>
    </w:p>
    <w:p w14:paraId="6C8BEAC5" w14:textId="77777777" w:rsidR="00A47E64" w:rsidRPr="00A47E64" w:rsidRDefault="00A47E64" w:rsidP="00A47E64">
      <w:pPr>
        <w:numPr>
          <w:ilvl w:val="0"/>
          <w:numId w:val="5"/>
        </w:numPr>
      </w:pPr>
      <w:r w:rsidRPr="00A47E64">
        <w:t xml:space="preserve">Certain microbes like </w:t>
      </w:r>
      <w:r w:rsidRPr="00A47E64">
        <w:rPr>
          <w:i/>
          <w:iCs/>
        </w:rPr>
        <w:t xml:space="preserve">Lactobacillus </w:t>
      </w:r>
      <w:proofErr w:type="spellStart"/>
      <w:r w:rsidRPr="00A47E64">
        <w:rPr>
          <w:i/>
          <w:iCs/>
        </w:rPr>
        <w:t>reuteri</w:t>
      </w:r>
      <w:proofErr w:type="spellEnd"/>
      <w:r w:rsidRPr="00A47E64">
        <w:t xml:space="preserve"> suppress tumor growth and modulate immunity</w:t>
      </w:r>
    </w:p>
    <w:p w14:paraId="4EBA6633" w14:textId="77777777" w:rsidR="00A47E64" w:rsidRPr="00A47E64" w:rsidRDefault="00A47E64" w:rsidP="00A47E64">
      <w:pPr>
        <w:numPr>
          <w:ilvl w:val="0"/>
          <w:numId w:val="5"/>
        </w:numPr>
      </w:pPr>
      <w:r w:rsidRPr="00A47E64">
        <w:t>Diet influences microbiota composition, which in turn affects cancer risk and progression</w:t>
      </w:r>
    </w:p>
    <w:p w14:paraId="5FEF9C40" w14:textId="77777777" w:rsidR="00A47E64" w:rsidRPr="00A47E64" w:rsidRDefault="00A47E64" w:rsidP="00A47E64">
      <w:r w:rsidRPr="00A47E64">
        <w:pict w14:anchorId="641CB6D9">
          <v:rect id="_x0000_i1063" style="width:0;height:1.5pt" o:hralign="center" o:hrstd="t" o:hr="t" fillcolor="#a0a0a0" stroked="f"/>
        </w:pict>
      </w:r>
    </w:p>
    <w:p w14:paraId="064A2868" w14:textId="77777777" w:rsidR="00A47E64" w:rsidRPr="00A47E64" w:rsidRDefault="00A47E64" w:rsidP="00A47E64">
      <w:pPr>
        <w:rPr>
          <w:b/>
          <w:bCs/>
        </w:rPr>
      </w:pPr>
      <w:r w:rsidRPr="00A47E64">
        <w:rPr>
          <w:b/>
          <w:bCs/>
        </w:rPr>
        <w:t>Implications</w:t>
      </w:r>
    </w:p>
    <w:p w14:paraId="65FCD97F" w14:textId="77777777" w:rsidR="00A47E64" w:rsidRPr="00A47E64" w:rsidRDefault="00A47E64" w:rsidP="00A47E64">
      <w:r w:rsidRPr="00A47E64">
        <w:lastRenderedPageBreak/>
        <w:t>Breast cancer treatment extends beyond targeting tumor cells to addressing the microbial environment that supports tumor growth.</w:t>
      </w:r>
    </w:p>
    <w:p w14:paraId="3030D46D" w14:textId="77777777" w:rsidR="00A47E64" w:rsidRPr="00A47E64" w:rsidRDefault="00A47E64" w:rsidP="00A47E64">
      <w:r w:rsidRPr="00A47E64">
        <w:t>Key implications include:</w:t>
      </w:r>
    </w:p>
    <w:p w14:paraId="5C5213AA" w14:textId="77777777" w:rsidR="00A47E64" w:rsidRPr="00A47E64" w:rsidRDefault="00A47E64" w:rsidP="00A47E64">
      <w:pPr>
        <w:numPr>
          <w:ilvl w:val="0"/>
          <w:numId w:val="6"/>
        </w:numPr>
      </w:pPr>
      <w:r w:rsidRPr="00A47E64">
        <w:t>Development of therapies that simultaneously target cancer cells and tumor-associated microbiota</w:t>
      </w:r>
    </w:p>
    <w:p w14:paraId="53C95831" w14:textId="77777777" w:rsidR="00A47E64" w:rsidRPr="00A47E64" w:rsidRDefault="00A47E64" w:rsidP="00A47E64">
      <w:pPr>
        <w:numPr>
          <w:ilvl w:val="0"/>
          <w:numId w:val="6"/>
        </w:numPr>
      </w:pPr>
      <w:r w:rsidRPr="00A47E64">
        <w:t>Reduced toxicity and improved treatment efficacy through targeted delivery systems</w:t>
      </w:r>
    </w:p>
    <w:p w14:paraId="6E493E2B" w14:textId="77777777" w:rsidR="00A47E64" w:rsidRPr="00A47E64" w:rsidRDefault="00A47E64" w:rsidP="00A47E64">
      <w:pPr>
        <w:numPr>
          <w:ilvl w:val="0"/>
          <w:numId w:val="6"/>
        </w:numPr>
      </w:pPr>
      <w:r w:rsidRPr="00A47E64">
        <w:t>Potential to overcome drug resistance and enhance immunotherapy outcomes</w:t>
      </w:r>
    </w:p>
    <w:p w14:paraId="0AE2E6D1" w14:textId="77777777" w:rsidR="00A47E64" w:rsidRPr="00A47E64" w:rsidRDefault="00A47E64" w:rsidP="00A47E64">
      <w:r w:rsidRPr="00A47E64">
        <w:t>The findings also highlight:</w:t>
      </w:r>
    </w:p>
    <w:p w14:paraId="3DBDA8AE" w14:textId="77777777" w:rsidR="00A47E64" w:rsidRPr="00A47E64" w:rsidRDefault="00A47E64" w:rsidP="00A47E64">
      <w:pPr>
        <w:numPr>
          <w:ilvl w:val="0"/>
          <w:numId w:val="7"/>
        </w:numPr>
      </w:pPr>
      <w:r w:rsidRPr="00A47E64">
        <w:t>The role of microbiome differences in explaining disparities in breast cancer outcomes across populations</w:t>
      </w:r>
    </w:p>
    <w:p w14:paraId="2FFD035D" w14:textId="77777777" w:rsidR="00A47E64" w:rsidRPr="00A47E64" w:rsidRDefault="00A47E64" w:rsidP="00A47E64">
      <w:pPr>
        <w:numPr>
          <w:ilvl w:val="0"/>
          <w:numId w:val="7"/>
        </w:numPr>
      </w:pPr>
      <w:r w:rsidRPr="00A47E64">
        <w:t>Opportunities for personalized medicine through microbiome profiling</w:t>
      </w:r>
    </w:p>
    <w:p w14:paraId="1876CCB2" w14:textId="77777777" w:rsidR="00A47E64" w:rsidRPr="00A47E64" w:rsidRDefault="00A47E64" w:rsidP="00A47E64">
      <w:pPr>
        <w:numPr>
          <w:ilvl w:val="0"/>
          <w:numId w:val="7"/>
        </w:numPr>
      </w:pPr>
      <w:r w:rsidRPr="00A47E64">
        <w:t>Applicability of these approaches to other cancers such as colorectal cancer and melanoma</w:t>
      </w:r>
    </w:p>
    <w:p w14:paraId="20978E33" w14:textId="77777777" w:rsidR="00A47E64" w:rsidRPr="00A47E64" w:rsidRDefault="00A47E64" w:rsidP="00A47E64">
      <w:r w:rsidRPr="00A47E64">
        <w:t>However, challenges remain in toxicity, immunogenicity, scalability, and regulatory approval.</w:t>
      </w:r>
    </w:p>
    <w:p w14:paraId="71370394" w14:textId="77777777" w:rsidR="00A47E64" w:rsidRPr="00A47E64" w:rsidRDefault="00A47E64" w:rsidP="00A47E64">
      <w:r w:rsidRPr="00A47E64">
        <w:pict w14:anchorId="3C9F85E3">
          <v:rect id="_x0000_i1064" style="width:0;height:1.5pt" o:hralign="center" o:hrstd="t" o:hr="t" fillcolor="#a0a0a0" stroked="f"/>
        </w:pict>
      </w:r>
    </w:p>
    <w:p w14:paraId="669148CA" w14:textId="77777777" w:rsidR="00A47E64" w:rsidRPr="00A47E64" w:rsidRDefault="00A47E64" w:rsidP="00A47E64">
      <w:pPr>
        <w:rPr>
          <w:b/>
          <w:bCs/>
        </w:rPr>
      </w:pPr>
      <w:r w:rsidRPr="00A47E64">
        <w:rPr>
          <w:b/>
          <w:bCs/>
        </w:rPr>
        <w:t>Call to Action</w:t>
      </w:r>
    </w:p>
    <w:p w14:paraId="6EA24951" w14:textId="77777777" w:rsidR="00A47E64" w:rsidRPr="00A47E64" w:rsidRDefault="00A47E64" w:rsidP="00A47E64">
      <w:pPr>
        <w:numPr>
          <w:ilvl w:val="0"/>
          <w:numId w:val="8"/>
        </w:numPr>
      </w:pPr>
      <w:r w:rsidRPr="00A47E64">
        <w:t>Promote personalized microbiome-based therapies tailored to individual patient profiles</w:t>
      </w:r>
    </w:p>
    <w:p w14:paraId="62E3A3C2" w14:textId="77777777" w:rsidR="00A47E64" w:rsidRPr="00A47E64" w:rsidRDefault="00A47E64" w:rsidP="00A47E64">
      <w:pPr>
        <w:numPr>
          <w:ilvl w:val="0"/>
          <w:numId w:val="8"/>
        </w:numPr>
      </w:pPr>
      <w:r w:rsidRPr="00A47E64">
        <w:t>Strengthen interdisciplinary collaboration among oncologists, microbiologists, nanotechnologists, and engineers</w:t>
      </w:r>
    </w:p>
    <w:p w14:paraId="520E22B7" w14:textId="77777777" w:rsidR="00A47E64" w:rsidRPr="00A47E64" w:rsidRDefault="00A47E64" w:rsidP="00A47E64">
      <w:pPr>
        <w:numPr>
          <w:ilvl w:val="0"/>
          <w:numId w:val="8"/>
        </w:numPr>
      </w:pPr>
      <w:r w:rsidRPr="00A47E64">
        <w:t>Invest in research and development of nano-platforms and microbial engineering technologies</w:t>
      </w:r>
    </w:p>
    <w:p w14:paraId="0356AD23" w14:textId="77777777" w:rsidR="00A47E64" w:rsidRPr="00A47E64" w:rsidRDefault="00A47E64" w:rsidP="00A47E64">
      <w:pPr>
        <w:numPr>
          <w:ilvl w:val="0"/>
          <w:numId w:val="8"/>
        </w:numPr>
      </w:pPr>
      <w:r w:rsidRPr="00A47E64">
        <w:t>Improve awareness on modifiable risk factors such as diet and lifestyle</w:t>
      </w:r>
    </w:p>
    <w:p w14:paraId="2F3CC559" w14:textId="77777777" w:rsidR="00A47E64" w:rsidRPr="00A47E64" w:rsidRDefault="00A47E64" w:rsidP="00A47E64">
      <w:pPr>
        <w:numPr>
          <w:ilvl w:val="0"/>
          <w:numId w:val="8"/>
        </w:numPr>
      </w:pPr>
      <w:r w:rsidRPr="00A47E64">
        <w:t>Enhance early detection through education on breast self-examination and screening</w:t>
      </w:r>
    </w:p>
    <w:p w14:paraId="496BB28F" w14:textId="77777777" w:rsidR="00A47E64" w:rsidRPr="00A47E64" w:rsidRDefault="00A47E64" w:rsidP="00A47E64">
      <w:r w:rsidRPr="00A47E64">
        <w:t>There is also a need to ensure equitable access to emerging therapies, particularly in resource-limited settings.</w:t>
      </w:r>
    </w:p>
    <w:p w14:paraId="43ADFFE0" w14:textId="77777777" w:rsidR="00A47E64" w:rsidRPr="00A47E64" w:rsidRDefault="00A47E64" w:rsidP="00A47E64">
      <w:r w:rsidRPr="00A47E64">
        <w:pict w14:anchorId="4EE03440">
          <v:rect id="_x0000_i1065" style="width:0;height:1.5pt" o:hralign="center" o:hrstd="t" o:hr="t" fillcolor="#a0a0a0" stroked="f"/>
        </w:pict>
      </w:r>
    </w:p>
    <w:p w14:paraId="053E0BBF" w14:textId="77777777" w:rsidR="00A47E64" w:rsidRPr="00A47E64" w:rsidRDefault="00A47E64" w:rsidP="00A47E64">
      <w:pPr>
        <w:rPr>
          <w:b/>
          <w:bCs/>
        </w:rPr>
      </w:pPr>
      <w:r w:rsidRPr="00A47E64">
        <w:rPr>
          <w:b/>
          <w:bCs/>
        </w:rPr>
        <w:t>Future Research</w:t>
      </w:r>
    </w:p>
    <w:p w14:paraId="385549EC" w14:textId="77777777" w:rsidR="00A47E64" w:rsidRPr="00A47E64" w:rsidRDefault="00A47E64" w:rsidP="00A47E64">
      <w:r w:rsidRPr="00A47E64">
        <w:t>Key gaps identified include:</w:t>
      </w:r>
    </w:p>
    <w:p w14:paraId="3B01AAAB" w14:textId="77777777" w:rsidR="00A47E64" w:rsidRPr="00A47E64" w:rsidRDefault="00A47E64" w:rsidP="00A47E64">
      <w:pPr>
        <w:numPr>
          <w:ilvl w:val="0"/>
          <w:numId w:val="9"/>
        </w:numPr>
      </w:pPr>
      <w:r w:rsidRPr="00A47E64">
        <w:lastRenderedPageBreak/>
        <w:t xml:space="preserve">Incomplete understanding of specific microbial species (e.g., </w:t>
      </w:r>
      <w:r w:rsidRPr="00A47E64">
        <w:rPr>
          <w:i/>
          <w:iCs/>
        </w:rPr>
        <w:t xml:space="preserve">Fusobacterium </w:t>
      </w:r>
      <w:proofErr w:type="spellStart"/>
      <w:r w:rsidRPr="00A47E64">
        <w:rPr>
          <w:i/>
          <w:iCs/>
        </w:rPr>
        <w:t>nucleatum</w:t>
      </w:r>
      <w:proofErr w:type="spellEnd"/>
      <w:r w:rsidRPr="00A47E64">
        <w:t>) and their interactions with tumor and immune systems</w:t>
      </w:r>
    </w:p>
    <w:p w14:paraId="49FD23FC" w14:textId="77777777" w:rsidR="00A47E64" w:rsidRPr="00A47E64" w:rsidRDefault="00A47E64" w:rsidP="00A47E64">
      <w:pPr>
        <w:numPr>
          <w:ilvl w:val="0"/>
          <w:numId w:val="9"/>
        </w:numPr>
      </w:pPr>
      <w:r w:rsidRPr="00A47E64">
        <w:t>Limited data on microbial metabolites (e.g., short-chain fatty acids, estrogen metabolites) in tumor progression</w:t>
      </w:r>
    </w:p>
    <w:p w14:paraId="0F5A476D" w14:textId="77777777" w:rsidR="00A47E64" w:rsidRPr="00A47E64" w:rsidRDefault="00A47E64" w:rsidP="00A47E64">
      <w:pPr>
        <w:numPr>
          <w:ilvl w:val="0"/>
          <w:numId w:val="9"/>
        </w:numPr>
      </w:pPr>
      <w:r w:rsidRPr="00A47E64">
        <w:t>Need for multi-omics integration (metagenomics, metabolomics, transcriptomics) to identify precise biomarkers</w:t>
      </w:r>
    </w:p>
    <w:p w14:paraId="1572E203" w14:textId="77777777" w:rsidR="00A47E64" w:rsidRPr="00A47E64" w:rsidRDefault="00A47E64" w:rsidP="00A47E64">
      <w:pPr>
        <w:numPr>
          <w:ilvl w:val="0"/>
          <w:numId w:val="9"/>
        </w:numPr>
      </w:pPr>
      <w:r w:rsidRPr="00A47E64">
        <w:t>Insufficient development of smart nano-systems responsive to microbiome signals (pH, enzymes, metabolites)</w:t>
      </w:r>
    </w:p>
    <w:p w14:paraId="73555684" w14:textId="77777777" w:rsidR="00A47E64" w:rsidRPr="00A47E64" w:rsidRDefault="00A47E64" w:rsidP="00A47E64">
      <w:pPr>
        <w:numPr>
          <w:ilvl w:val="0"/>
          <w:numId w:val="9"/>
        </w:numPr>
      </w:pPr>
      <w:r w:rsidRPr="00A47E64">
        <w:t>Limited clinical data on synergy between nano-platforms and standard therapies across diverse populations</w:t>
      </w:r>
    </w:p>
    <w:p w14:paraId="2BE50675" w14:textId="77777777" w:rsidR="00A47E64" w:rsidRPr="00A47E64" w:rsidRDefault="00A47E64" w:rsidP="00A47E64">
      <w:pPr>
        <w:numPr>
          <w:ilvl w:val="0"/>
          <w:numId w:val="9"/>
        </w:numPr>
      </w:pPr>
      <w:r w:rsidRPr="00A47E64">
        <w:t>Underdeveloped regulatory frameworks for microbiome-targeted nanomedicine</w:t>
      </w:r>
    </w:p>
    <w:p w14:paraId="0C357DC4" w14:textId="77777777" w:rsidR="00A47E64" w:rsidRPr="00A47E64" w:rsidRDefault="00A47E64" w:rsidP="00A47E64">
      <w:pPr>
        <w:numPr>
          <w:ilvl w:val="0"/>
          <w:numId w:val="9"/>
        </w:numPr>
      </w:pPr>
      <w:r w:rsidRPr="00A47E64">
        <w:t>Need for more human studies, especially on fecal microbiota transplantation</w:t>
      </w:r>
    </w:p>
    <w:p w14:paraId="7B2671B6" w14:textId="77777777" w:rsidR="00A47E64" w:rsidRPr="00A47E64" w:rsidRDefault="00A47E64" w:rsidP="00A47E64">
      <w:r w:rsidRPr="00A47E64">
        <w:t>Future research should prioritize safety, scalability, and inclusivity while advancing toward clinical application.</w:t>
      </w:r>
    </w:p>
    <w:p w14:paraId="0CE54516" w14:textId="77777777" w:rsidR="00A47E64" w:rsidRPr="00A47E64" w:rsidRDefault="00A47E64" w:rsidP="00A47E64">
      <w:r w:rsidRPr="00A47E64">
        <w:pict w14:anchorId="0A414C7A">
          <v:rect id="_x0000_i1066" style="width:0;height:1.5pt" o:hralign="center" o:hrstd="t" o:hr="t" fillcolor="#a0a0a0" stroked="f"/>
        </w:pict>
      </w:r>
    </w:p>
    <w:p w14:paraId="7033EB52" w14:textId="77777777" w:rsidR="00A47E64" w:rsidRPr="00A47E64" w:rsidRDefault="00A47E64" w:rsidP="00A47E64"/>
    <w:sectPr w:rsidR="00A47E64" w:rsidRPr="00A47E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EAF"/>
    <w:multiLevelType w:val="multilevel"/>
    <w:tmpl w:val="A61E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976D9"/>
    <w:multiLevelType w:val="multilevel"/>
    <w:tmpl w:val="62E4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22B27"/>
    <w:multiLevelType w:val="multilevel"/>
    <w:tmpl w:val="7C0A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B61F3"/>
    <w:multiLevelType w:val="multilevel"/>
    <w:tmpl w:val="EB58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D1BF3"/>
    <w:multiLevelType w:val="multilevel"/>
    <w:tmpl w:val="E3B6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B408A5"/>
    <w:multiLevelType w:val="multilevel"/>
    <w:tmpl w:val="BFC6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02422F"/>
    <w:multiLevelType w:val="multilevel"/>
    <w:tmpl w:val="9842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AB2EF4"/>
    <w:multiLevelType w:val="multilevel"/>
    <w:tmpl w:val="F956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CE78A6"/>
    <w:multiLevelType w:val="multilevel"/>
    <w:tmpl w:val="B6BA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625065">
    <w:abstractNumId w:val="6"/>
  </w:num>
  <w:num w:numId="2" w16cid:durableId="491022413">
    <w:abstractNumId w:val="8"/>
  </w:num>
  <w:num w:numId="3" w16cid:durableId="892153522">
    <w:abstractNumId w:val="1"/>
  </w:num>
  <w:num w:numId="4" w16cid:durableId="1302417921">
    <w:abstractNumId w:val="2"/>
  </w:num>
  <w:num w:numId="5" w16cid:durableId="159854256">
    <w:abstractNumId w:val="3"/>
  </w:num>
  <w:num w:numId="6" w16cid:durableId="49378234">
    <w:abstractNumId w:val="5"/>
  </w:num>
  <w:num w:numId="7" w16cid:durableId="708841347">
    <w:abstractNumId w:val="0"/>
  </w:num>
  <w:num w:numId="8" w16cid:durableId="1484664841">
    <w:abstractNumId w:val="4"/>
  </w:num>
  <w:num w:numId="9" w16cid:durableId="10596725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E64"/>
    <w:rsid w:val="000B4B7E"/>
    <w:rsid w:val="00A47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66C42"/>
  <w15:chartTrackingRefBased/>
  <w15:docId w15:val="{E69A349F-2BF5-4472-BB0A-BEA38760C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E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E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E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E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E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E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E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E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E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E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E64"/>
    <w:rPr>
      <w:rFonts w:eastAsiaTheme="majorEastAsia" w:cstheme="majorBidi"/>
      <w:color w:val="272727" w:themeColor="text1" w:themeTint="D8"/>
    </w:rPr>
  </w:style>
  <w:style w:type="paragraph" w:styleId="Title">
    <w:name w:val="Title"/>
    <w:basedOn w:val="Normal"/>
    <w:next w:val="Normal"/>
    <w:link w:val="TitleChar"/>
    <w:uiPriority w:val="10"/>
    <w:qFormat/>
    <w:rsid w:val="00A47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E64"/>
    <w:pPr>
      <w:spacing w:before="160"/>
      <w:jc w:val="center"/>
    </w:pPr>
    <w:rPr>
      <w:i/>
      <w:iCs/>
      <w:color w:val="404040" w:themeColor="text1" w:themeTint="BF"/>
    </w:rPr>
  </w:style>
  <w:style w:type="character" w:customStyle="1" w:styleId="QuoteChar">
    <w:name w:val="Quote Char"/>
    <w:basedOn w:val="DefaultParagraphFont"/>
    <w:link w:val="Quote"/>
    <w:uiPriority w:val="29"/>
    <w:rsid w:val="00A47E64"/>
    <w:rPr>
      <w:i/>
      <w:iCs/>
      <w:color w:val="404040" w:themeColor="text1" w:themeTint="BF"/>
    </w:rPr>
  </w:style>
  <w:style w:type="paragraph" w:styleId="ListParagraph">
    <w:name w:val="List Paragraph"/>
    <w:basedOn w:val="Normal"/>
    <w:uiPriority w:val="34"/>
    <w:qFormat/>
    <w:rsid w:val="00A47E64"/>
    <w:pPr>
      <w:ind w:left="720"/>
      <w:contextualSpacing/>
    </w:pPr>
  </w:style>
  <w:style w:type="character" w:styleId="IntenseEmphasis">
    <w:name w:val="Intense Emphasis"/>
    <w:basedOn w:val="DefaultParagraphFont"/>
    <w:uiPriority w:val="21"/>
    <w:qFormat/>
    <w:rsid w:val="00A47E64"/>
    <w:rPr>
      <w:i/>
      <w:iCs/>
      <w:color w:val="2F5496" w:themeColor="accent1" w:themeShade="BF"/>
    </w:rPr>
  </w:style>
  <w:style w:type="paragraph" w:styleId="IntenseQuote">
    <w:name w:val="Intense Quote"/>
    <w:basedOn w:val="Normal"/>
    <w:next w:val="Normal"/>
    <w:link w:val="IntenseQuoteChar"/>
    <w:uiPriority w:val="30"/>
    <w:qFormat/>
    <w:rsid w:val="00A47E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E64"/>
    <w:rPr>
      <w:i/>
      <w:iCs/>
      <w:color w:val="2F5496" w:themeColor="accent1" w:themeShade="BF"/>
    </w:rPr>
  </w:style>
  <w:style w:type="character" w:styleId="IntenseReference">
    <w:name w:val="Intense Reference"/>
    <w:basedOn w:val="DefaultParagraphFont"/>
    <w:uiPriority w:val="32"/>
    <w:qFormat/>
    <w:rsid w:val="00A47E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867</Words>
  <Characters>4947</Characters>
  <Application>Microsoft Office Word</Application>
  <DocSecurity>0</DocSecurity>
  <Lines>41</Lines>
  <Paragraphs>11</Paragraphs>
  <ScaleCrop>false</ScaleCrop>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Najma Adan</dc:creator>
  <cp:keywords/>
  <dc:description/>
  <cp:lastModifiedBy>Najma Adan</cp:lastModifiedBy>
  <cp:revision>1</cp:revision>
  <dcterms:created xsi:type="dcterms:W3CDTF">2026-04-26T06:47:00Z</dcterms:created>
  <dcterms:modified xsi:type="dcterms:W3CDTF">2026-04-26T06:50:00Z</dcterms:modified>
</cp:coreProperties>
</file>