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2024</w:t>
      </w:r>
      <w:r>
        <w:t>-202</w:t>
      </w:r>
      <w:r>
        <w:rPr>
          <w:rFonts w:hint="eastAsia"/>
        </w:rPr>
        <w:t>5秋季</w:t>
      </w:r>
      <w:r>
        <w:t>学期</w:t>
      </w:r>
    </w:p>
    <w:tbl>
      <w:tblPr>
        <w:tblStyle w:val="8"/>
        <w:tblW w:w="963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88"/>
        <w:gridCol w:w="3865"/>
        <w:gridCol w:w="954"/>
        <w:gridCol w:w="38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tcPr>
          <w:p>
            <w:pPr>
              <w:spacing w:line="360" w:lineRule="auto"/>
              <w:rPr>
                <w:rFonts w:hint="eastAsia" w:ascii="宋体" w:hAnsi="宋体"/>
              </w:rPr>
            </w:pPr>
            <w:r>
              <w:rPr>
                <w:rFonts w:hint="eastAsia" w:ascii="宋体" w:hAnsi="宋体"/>
              </w:rPr>
              <w:t>学号</w:t>
            </w:r>
          </w:p>
        </w:tc>
        <w:tc>
          <w:tcPr>
            <w:tcW w:w="3865" w:type="dxa"/>
          </w:tcPr>
          <w:p>
            <w:pPr>
              <w:spacing w:line="360" w:lineRule="auto"/>
              <w:rPr>
                <w:rFonts w:hint="default" w:ascii="宋体" w:hAnsi="宋体" w:eastAsia="宋体"/>
                <w:lang w:val="en-US" w:eastAsia="zh-CN"/>
              </w:rPr>
            </w:pPr>
            <w:r>
              <w:rPr>
                <w:rFonts w:hint="eastAsia" w:ascii="宋体" w:hAnsi="宋体"/>
                <w:lang w:val="en-US" w:eastAsia="zh-CN"/>
              </w:rPr>
              <w:t>2022302817</w:t>
            </w:r>
          </w:p>
        </w:tc>
        <w:tc>
          <w:tcPr>
            <w:tcW w:w="954" w:type="dxa"/>
          </w:tcPr>
          <w:p>
            <w:pPr>
              <w:spacing w:line="360" w:lineRule="auto"/>
              <w:rPr>
                <w:rFonts w:hint="eastAsia" w:ascii="宋体" w:hAnsi="宋体"/>
              </w:rPr>
            </w:pPr>
            <w:r>
              <w:rPr>
                <w:rFonts w:hint="eastAsia" w:ascii="宋体" w:hAnsi="宋体"/>
              </w:rPr>
              <w:t>班级</w:t>
            </w:r>
          </w:p>
        </w:tc>
        <w:tc>
          <w:tcPr>
            <w:tcW w:w="3827" w:type="dxa"/>
          </w:tcPr>
          <w:p>
            <w:pPr>
              <w:spacing w:line="360" w:lineRule="auto"/>
              <w:rPr>
                <w:rFonts w:hint="default" w:ascii="宋体" w:hAnsi="宋体" w:eastAsia="宋体"/>
                <w:lang w:val="en-US" w:eastAsia="zh-CN"/>
              </w:rPr>
            </w:pPr>
            <w:r>
              <w:rPr>
                <w:rFonts w:hint="eastAsia" w:ascii="宋体" w:hAnsi="宋体"/>
                <w:lang w:val="en-US" w:eastAsia="zh-CN"/>
              </w:rPr>
              <w:t>14012203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tcPr>
          <w:p>
            <w:pPr>
              <w:spacing w:line="360" w:lineRule="auto"/>
              <w:rPr>
                <w:rFonts w:hint="eastAsia" w:ascii="宋体" w:hAnsi="宋体"/>
              </w:rPr>
            </w:pPr>
            <w:r>
              <w:rPr>
                <w:rFonts w:hint="eastAsia" w:ascii="宋体" w:hAnsi="宋体"/>
              </w:rPr>
              <w:t>姓名</w:t>
            </w:r>
          </w:p>
        </w:tc>
        <w:tc>
          <w:tcPr>
            <w:tcW w:w="3865" w:type="dxa"/>
          </w:tcPr>
          <w:p>
            <w:pPr>
              <w:spacing w:line="360" w:lineRule="auto"/>
              <w:rPr>
                <w:rFonts w:hint="eastAsia" w:ascii="宋体" w:hAnsi="宋体" w:eastAsia="宋体"/>
                <w:lang w:val="en-US" w:eastAsia="zh-CN"/>
              </w:rPr>
            </w:pPr>
            <w:r>
              <w:rPr>
                <w:rFonts w:hint="eastAsia" w:ascii="宋体" w:hAnsi="宋体"/>
                <w:lang w:val="en-US" w:eastAsia="zh-CN"/>
              </w:rPr>
              <w:t>杨鹏瑞</w:t>
            </w:r>
          </w:p>
        </w:tc>
        <w:tc>
          <w:tcPr>
            <w:tcW w:w="954" w:type="dxa"/>
          </w:tcPr>
          <w:p>
            <w:pPr>
              <w:spacing w:line="360" w:lineRule="auto"/>
              <w:rPr>
                <w:rFonts w:hint="eastAsia" w:ascii="宋体" w:hAnsi="宋体"/>
              </w:rPr>
            </w:pPr>
            <w:r>
              <w:rPr>
                <w:rFonts w:hint="eastAsia" w:ascii="宋体" w:hAnsi="宋体"/>
              </w:rPr>
              <w:t>学院</w:t>
            </w:r>
          </w:p>
        </w:tc>
        <w:tc>
          <w:tcPr>
            <w:tcW w:w="3827" w:type="dxa"/>
          </w:tcPr>
          <w:p>
            <w:pPr>
              <w:spacing w:line="360" w:lineRule="auto"/>
              <w:rPr>
                <w:rFonts w:hint="eastAsia" w:ascii="宋体" w:hAnsi="宋体" w:eastAsia="宋体"/>
                <w:lang w:val="en-US" w:eastAsia="zh-CN"/>
              </w:rPr>
            </w:pPr>
            <w:r>
              <w:rPr>
                <w:rFonts w:hint="eastAsia" w:ascii="宋体" w:hAnsi="宋体"/>
                <w:lang w:val="en-US" w:eastAsia="zh-CN"/>
              </w:rPr>
              <w:t>软件学院</w:t>
            </w:r>
          </w:p>
        </w:tc>
      </w:tr>
    </w:tbl>
    <w:p>
      <w:pPr>
        <w:spacing w:line="360" w:lineRule="auto"/>
        <w:rPr>
          <w:rFonts w:hint="eastAsia"/>
        </w:rPr>
      </w:pPr>
      <w:r>
        <w:rPr>
          <w:rFonts w:hint="eastAsia"/>
        </w:rPr>
        <w:t>大学生信息素养课程作业</w:t>
      </w:r>
    </w:p>
    <w:tbl>
      <w:tblPr>
        <w:tblStyle w:val="8"/>
        <w:tblW w:w="963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4"/>
        <w:gridCol w:w="2693"/>
        <w:gridCol w:w="62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tcPr>
          <w:p>
            <w:pPr>
              <w:spacing w:line="360" w:lineRule="auto"/>
              <w:rPr>
                <w:rFonts w:hint="eastAsia" w:ascii="宋体" w:hAnsi="宋体"/>
              </w:rPr>
            </w:pPr>
            <w:r>
              <w:rPr>
                <w:rFonts w:ascii="宋体" w:hAnsi="宋体"/>
              </w:rPr>
              <w:t>#</w:t>
            </w:r>
          </w:p>
        </w:tc>
        <w:tc>
          <w:tcPr>
            <w:tcW w:w="2693" w:type="dxa"/>
          </w:tcPr>
          <w:p>
            <w:pPr>
              <w:spacing w:line="360" w:lineRule="auto"/>
              <w:rPr>
                <w:rFonts w:hint="eastAsia" w:ascii="宋体" w:hAnsi="宋体"/>
              </w:rPr>
            </w:pPr>
            <w:r>
              <w:rPr>
                <w:rFonts w:hint="eastAsia" w:ascii="宋体" w:hAnsi="宋体"/>
              </w:rPr>
              <w:t>课程内容</w:t>
            </w:r>
          </w:p>
        </w:tc>
        <w:tc>
          <w:tcPr>
            <w:tcW w:w="6237" w:type="dxa"/>
          </w:tcPr>
          <w:p>
            <w:pPr>
              <w:spacing w:line="360" w:lineRule="auto"/>
              <w:rPr>
                <w:rFonts w:hint="eastAsia" w:ascii="宋体" w:hAnsi="宋体"/>
              </w:rPr>
            </w:pPr>
            <w:r>
              <w:rPr>
                <w:rFonts w:hint="eastAsia" w:ascii="宋体" w:hAnsi="宋体"/>
              </w:rPr>
              <w:t>作业</w:t>
            </w:r>
            <w:r>
              <w:rPr>
                <w:rFonts w:ascii="宋体" w:hAnsi="宋体"/>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tcPr>
          <w:p>
            <w:pPr>
              <w:spacing w:line="360" w:lineRule="auto"/>
              <w:rPr>
                <w:rFonts w:hint="eastAsia" w:ascii="宋体" w:hAnsi="宋体"/>
              </w:rPr>
            </w:pPr>
            <w:r>
              <w:rPr>
                <w:rFonts w:hint="eastAsia" w:ascii="宋体" w:hAnsi="宋体"/>
              </w:rPr>
              <w:t>1</w:t>
            </w:r>
          </w:p>
        </w:tc>
        <w:tc>
          <w:tcPr>
            <w:tcW w:w="2693" w:type="dxa"/>
          </w:tcPr>
          <w:p>
            <w:pPr>
              <w:spacing w:line="360" w:lineRule="auto"/>
              <w:rPr>
                <w:rFonts w:hint="eastAsia" w:ascii="宋体" w:hAnsi="宋体"/>
              </w:rPr>
            </w:pPr>
            <w:r>
              <w:rPr>
                <w:rFonts w:hint="eastAsia" w:ascii="宋体" w:hAnsi="宋体"/>
              </w:rPr>
              <w:t>课程小结</w:t>
            </w:r>
          </w:p>
        </w:tc>
        <w:tc>
          <w:tcPr>
            <w:tcW w:w="6237" w:type="dxa"/>
          </w:tcPr>
          <w:p>
            <w:pPr>
              <w:spacing w:line="360" w:lineRule="auto"/>
              <w:rPr>
                <w:rFonts w:hint="eastAsia" w:ascii="宋体" w:hAnsi="宋体"/>
              </w:rPr>
            </w:pPr>
            <w:r>
              <w:rPr>
                <w:rFonts w:hint="eastAsia" w:ascii="宋体" w:hAnsi="宋体"/>
              </w:rPr>
              <w:t>用500字评价课程几个模块：科学、逻辑、伦理、学术、素养、创新，言简意赅，精炼有效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tcPr>
          <w:p>
            <w:pPr>
              <w:spacing w:line="360" w:lineRule="auto"/>
              <w:rPr>
                <w:rFonts w:hint="eastAsia" w:ascii="宋体" w:hAnsi="宋体"/>
              </w:rPr>
            </w:pPr>
            <w:r>
              <w:rPr>
                <w:rFonts w:hint="eastAsia" w:ascii="宋体" w:hAnsi="宋体"/>
              </w:rPr>
              <w:t>1</w:t>
            </w:r>
          </w:p>
        </w:tc>
        <w:tc>
          <w:tcPr>
            <w:tcW w:w="2693" w:type="dxa"/>
          </w:tcPr>
          <w:p>
            <w:pPr>
              <w:spacing w:line="360" w:lineRule="auto"/>
              <w:rPr>
                <w:rFonts w:hint="eastAsia" w:ascii="宋体" w:hAnsi="宋体"/>
              </w:rPr>
            </w:pPr>
            <w:r>
              <w:rPr>
                <w:rFonts w:hint="eastAsia" w:ascii="宋体" w:hAnsi="宋体"/>
              </w:rPr>
              <w:t>科学思想与科学精神</w:t>
            </w:r>
          </w:p>
        </w:tc>
        <w:tc>
          <w:tcPr>
            <w:tcW w:w="6237" w:type="dxa"/>
          </w:tcPr>
          <w:p>
            <w:pPr>
              <w:spacing w:line="360" w:lineRule="auto"/>
              <w:rPr>
                <w:rFonts w:hint="eastAsia" w:ascii="宋体" w:hAnsi="宋体"/>
              </w:rPr>
            </w:pPr>
            <w:r>
              <w:rPr>
                <w:rFonts w:hint="eastAsia" w:ascii="宋体" w:hAnsi="宋体"/>
              </w:rPr>
              <w:t>1000-1500字</w:t>
            </w:r>
          </w:p>
          <w:p>
            <w:pPr>
              <w:spacing w:line="360" w:lineRule="auto"/>
              <w:rPr>
                <w:rFonts w:hint="eastAsia" w:ascii="宋体" w:hAnsi="宋体"/>
              </w:rPr>
            </w:pPr>
            <w:r>
              <w:rPr>
                <w:rFonts w:hint="eastAsia" w:ascii="宋体" w:hAnsi="宋体"/>
              </w:rPr>
              <w:t>科技之巅</w:t>
            </w:r>
            <w:r>
              <w:rPr>
                <w:rFonts w:ascii="宋体" w:hAnsi="宋体"/>
              </w:rPr>
              <w:t>2：《麻省理工科技评论》2017年10大全球突破性技术深度剖析（百度阅读，https://yuedu.baidu.com/ebook/aa52bc3bf02d2af90242a8956bec0975f465a4b3）</w:t>
            </w:r>
          </w:p>
          <w:p>
            <w:pPr>
              <w:spacing w:line="360" w:lineRule="auto"/>
              <w:rPr>
                <w:rFonts w:hint="eastAsia" w:ascii="宋体" w:hAnsi="宋体"/>
              </w:rPr>
            </w:pPr>
            <w:r>
              <w:rPr>
                <w:rFonts w:hint="eastAsia" w:ascii="宋体" w:hAnsi="宋体"/>
              </w:rPr>
              <w:t>阅读前言“火光与脚印”，用时间线描述人类技术史。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tcPr>
          <w:p>
            <w:pPr>
              <w:spacing w:line="360" w:lineRule="auto"/>
              <w:rPr>
                <w:rFonts w:hint="eastAsia" w:ascii="宋体" w:hAnsi="宋体"/>
              </w:rPr>
            </w:pPr>
            <w:r>
              <w:rPr>
                <w:rFonts w:hint="eastAsia" w:ascii="宋体" w:hAnsi="宋体"/>
              </w:rPr>
              <w:t>3</w:t>
            </w:r>
          </w:p>
        </w:tc>
        <w:tc>
          <w:tcPr>
            <w:tcW w:w="2693" w:type="dxa"/>
          </w:tcPr>
          <w:p>
            <w:pPr>
              <w:spacing w:line="360" w:lineRule="auto"/>
              <w:rPr>
                <w:rFonts w:hint="eastAsia" w:ascii="宋体" w:hAnsi="宋体"/>
              </w:rPr>
            </w:pPr>
            <w:r>
              <w:rPr>
                <w:rFonts w:hint="eastAsia" w:ascii="宋体" w:hAnsi="宋体"/>
              </w:rPr>
              <w:t>创新作品</w:t>
            </w:r>
          </w:p>
        </w:tc>
        <w:tc>
          <w:tcPr>
            <w:tcW w:w="6237" w:type="dxa"/>
          </w:tcPr>
          <w:p>
            <w:pPr>
              <w:spacing w:line="360" w:lineRule="auto"/>
              <w:rPr>
                <w:rFonts w:hint="eastAsia" w:ascii="宋体" w:hAnsi="宋体"/>
              </w:rPr>
            </w:pPr>
            <w:r>
              <w:rPr>
                <w:rFonts w:hint="eastAsia" w:ascii="宋体" w:hAnsi="宋体"/>
              </w:rPr>
              <w:t>下面类型的作品选做其一</w:t>
            </w:r>
          </w:p>
          <w:p>
            <w:pPr>
              <w:spacing w:line="360" w:lineRule="auto"/>
              <w:rPr>
                <w:rFonts w:hint="eastAsia" w:ascii="宋体" w:hAnsi="宋体"/>
              </w:rPr>
            </w:pPr>
            <w:r>
              <w:rPr>
                <w:rFonts w:hint="eastAsia" w:ascii="宋体" w:hAnsi="宋体"/>
              </w:rPr>
              <w:t>（1）5分钟及以上的的Adobe Premiere视频特效，特效至少3个以上</w:t>
            </w:r>
          </w:p>
          <w:p>
            <w:pPr>
              <w:spacing w:line="360" w:lineRule="auto"/>
              <w:rPr>
                <w:rFonts w:hint="eastAsia" w:ascii="宋体" w:hAnsi="宋体"/>
              </w:rPr>
            </w:pPr>
            <w:r>
              <w:rPr>
                <w:rFonts w:hint="eastAsia" w:ascii="宋体" w:hAnsi="宋体"/>
              </w:rPr>
              <w:t>（2）5分钟及以上的的Adode After Effect视频特效，特效至少3个以上</w:t>
            </w:r>
          </w:p>
          <w:p>
            <w:pPr>
              <w:spacing w:line="360" w:lineRule="auto"/>
              <w:rPr>
                <w:rFonts w:hint="eastAsia" w:ascii="宋体" w:hAnsi="宋体"/>
              </w:rPr>
            </w:pPr>
            <w:r>
              <w:rPr>
                <w:rFonts w:hint="eastAsia" w:ascii="宋体" w:hAnsi="宋体"/>
              </w:rPr>
              <w:t>（3）5分钟及以上的Blender项目</w:t>
            </w:r>
          </w:p>
          <w:p>
            <w:pPr>
              <w:spacing w:line="360" w:lineRule="auto"/>
              <w:rPr>
                <w:rFonts w:hint="eastAsia" w:ascii="宋体" w:hAnsi="宋体"/>
              </w:rPr>
            </w:pPr>
            <w:r>
              <w:rPr>
                <w:rFonts w:hint="eastAsia" w:ascii="宋体" w:hAnsi="宋体"/>
              </w:rPr>
              <w:t>（4）5分钟及以上的Unity项目</w:t>
            </w:r>
          </w:p>
          <w:p>
            <w:pPr>
              <w:spacing w:line="360" w:lineRule="auto"/>
              <w:rPr>
                <w:rFonts w:hint="eastAsia" w:ascii="宋体" w:hAnsi="宋体"/>
              </w:rPr>
            </w:pPr>
            <w:r>
              <w:rPr>
                <w:rFonts w:hint="eastAsia" w:ascii="宋体" w:hAnsi="宋体"/>
              </w:rPr>
              <w:t>（5）5分钟及以上的Unreal Engine项目</w:t>
            </w:r>
          </w:p>
        </w:tc>
      </w:tr>
    </w:tbl>
    <w:p>
      <w:pPr>
        <w:spacing w:line="360" w:lineRule="auto"/>
        <w:rPr>
          <w:rFonts w:hint="eastAsia"/>
        </w:rPr>
      </w:pPr>
      <w:r>
        <w:rPr>
          <w:rFonts w:hint="eastAsia"/>
        </w:rPr>
        <w:t>1、2题直接</w:t>
      </w:r>
      <w:r>
        <w:t>在本文件后面</w:t>
      </w:r>
      <w:r>
        <w:rPr>
          <w:rFonts w:hint="eastAsia"/>
        </w:rPr>
        <w:t>答</w:t>
      </w:r>
      <w:r>
        <w:t>题</w:t>
      </w:r>
      <w:r>
        <w:rPr>
          <w:rFonts w:hint="eastAsia"/>
        </w:rPr>
        <w:t>。</w:t>
      </w:r>
    </w:p>
    <w:p>
      <w:pPr>
        <w:spacing w:line="360" w:lineRule="auto"/>
        <w:rPr>
          <w:rFonts w:hint="eastAsia"/>
        </w:rPr>
      </w:pPr>
      <w:r>
        <w:rPr>
          <w:rFonts w:hint="eastAsia"/>
        </w:rPr>
        <w:t>完成</w:t>
      </w:r>
      <w:r>
        <w:t>日期：</w:t>
      </w:r>
      <w:r>
        <w:rPr>
          <w:rFonts w:hint="eastAsia"/>
        </w:rPr>
        <w:t>请在</w:t>
      </w:r>
      <w:r>
        <w:rPr>
          <w:rFonts w:hint="eastAsia"/>
          <w:b/>
          <w:color w:val="FF0000"/>
        </w:rPr>
        <w:t>2024年12月31日</w:t>
      </w:r>
      <w:r>
        <w:t>之前</w:t>
      </w:r>
      <w:r>
        <w:rPr>
          <w:rFonts w:hint="eastAsia"/>
        </w:rPr>
        <w:t>完成</w:t>
      </w:r>
      <w:r>
        <w:t>，</w:t>
      </w:r>
      <w:r>
        <w:rPr>
          <w:rFonts w:hint="eastAsia"/>
        </w:rPr>
        <w:t>将文件</w:t>
      </w:r>
      <w:r>
        <w:t>提交到QQ</w:t>
      </w:r>
      <w:r>
        <w:rPr>
          <w:rFonts w:hint="eastAsia"/>
        </w:rPr>
        <w:t>群作业</w:t>
      </w:r>
      <w:r>
        <w:t>里</w:t>
      </w:r>
      <w:r>
        <w:rPr>
          <w:rFonts w:hint="eastAsia"/>
        </w:rPr>
        <w:t>。</w:t>
      </w:r>
    </w:p>
    <w:p>
      <w:pPr>
        <w:spacing w:line="360" w:lineRule="auto"/>
        <w:rPr>
          <w:rFonts w:hint="eastAsia"/>
        </w:rPr>
      </w:pPr>
    </w:p>
    <w:p>
      <w:pPr>
        <w:spacing w:line="360" w:lineRule="auto"/>
        <w:rPr>
          <w:rFonts w:hint="eastAsia"/>
        </w:rPr>
      </w:pPr>
      <w:r>
        <w:rPr>
          <w:rFonts w:hint="eastAsia"/>
        </w:rPr>
        <w:t>大学生信息素养作业答题</w:t>
      </w:r>
    </w:p>
    <w:p>
      <w:pPr>
        <w:spacing w:line="360" w:lineRule="auto"/>
        <w:rPr>
          <w:rFonts w:hint="eastAsia"/>
        </w:rPr>
      </w:pPr>
      <w:r>
        <w:rPr>
          <w:rFonts w:hint="eastAsia"/>
        </w:rPr>
        <w:t>【1】</w:t>
      </w:r>
    </w:p>
    <w:p>
      <w:pPr>
        <w:spacing w:line="360" w:lineRule="auto"/>
        <w:ind w:firstLine="480" w:firstLineChars="200"/>
        <w:rPr>
          <w:rFonts w:hint="eastAsia" w:ascii="宋体" w:hAnsi="宋体"/>
        </w:rPr>
      </w:pPr>
      <w:r>
        <w:rPr>
          <w:rFonts w:hint="eastAsia" w:ascii="宋体" w:hAnsi="宋体"/>
        </w:rPr>
        <w:t>《大学生信息素养》课程设计的几个核心模块——科学、逻辑、伦理、学术、素养、创新，全面而深入地提升了学生的综合能力，各模块各具特色，相辅相成。</w:t>
      </w:r>
    </w:p>
    <w:p>
      <w:pPr>
        <w:spacing w:line="360" w:lineRule="auto"/>
        <w:ind w:firstLine="480" w:firstLineChars="200"/>
        <w:rPr>
          <w:rFonts w:hint="eastAsia" w:ascii="宋体" w:hAnsi="宋体"/>
        </w:rPr>
      </w:pPr>
      <w:r>
        <w:rPr>
          <w:rFonts w:hint="eastAsia" w:ascii="宋体" w:hAnsi="宋体"/>
        </w:rPr>
        <w:t>科学模块通过系统介绍科学研究方法和信息检索技巧，使</w:t>
      </w:r>
      <w:r>
        <w:rPr>
          <w:rFonts w:hint="eastAsia" w:ascii="宋体" w:hAnsi="宋体"/>
          <w:lang w:val="en-US" w:eastAsia="zh-CN"/>
        </w:rPr>
        <w:t>我们</w:t>
      </w:r>
      <w:r>
        <w:rPr>
          <w:rFonts w:hint="eastAsia" w:ascii="宋体" w:hAnsi="宋体"/>
        </w:rPr>
        <w:t>掌握了获取、评估和利用科学信息的基本能力，为学术研究和创新实践打下了坚实基础。</w:t>
      </w:r>
    </w:p>
    <w:p>
      <w:pPr>
        <w:spacing w:line="360" w:lineRule="auto"/>
        <w:ind w:firstLine="480" w:firstLineChars="200"/>
        <w:rPr>
          <w:rFonts w:hint="eastAsia" w:ascii="宋体" w:hAnsi="宋体"/>
        </w:rPr>
      </w:pPr>
      <w:r>
        <w:rPr>
          <w:rFonts w:hint="eastAsia" w:ascii="宋体" w:hAnsi="宋体"/>
        </w:rPr>
        <w:t>逻辑模块则着重培养</w:t>
      </w:r>
      <w:r>
        <w:rPr>
          <w:rFonts w:hint="eastAsia" w:ascii="宋体" w:hAnsi="宋体"/>
          <w:lang w:val="en-US" w:eastAsia="zh-CN"/>
        </w:rPr>
        <w:t>我们</w:t>
      </w:r>
      <w:r>
        <w:rPr>
          <w:rFonts w:hint="eastAsia" w:ascii="宋体" w:hAnsi="宋体"/>
        </w:rPr>
        <w:t>的批判性思维和逻辑推理能力，通过案例分析、讨论等方式，引导</w:t>
      </w:r>
      <w:r>
        <w:rPr>
          <w:rFonts w:hint="eastAsia" w:ascii="宋体" w:hAnsi="宋体"/>
          <w:lang w:val="en-US" w:eastAsia="zh-CN"/>
        </w:rPr>
        <w:t>我们</w:t>
      </w:r>
      <w:r>
        <w:rPr>
          <w:rFonts w:hint="eastAsia" w:ascii="宋体" w:hAnsi="宋体"/>
        </w:rPr>
        <w:t>学会独立思考，辨别信息的真伪与优劣，这对于提升信息处理能力至关重要。</w:t>
      </w:r>
    </w:p>
    <w:p>
      <w:pPr>
        <w:spacing w:line="360" w:lineRule="auto"/>
        <w:ind w:firstLine="480" w:firstLineChars="200"/>
        <w:rPr>
          <w:rFonts w:hint="eastAsia" w:ascii="宋体" w:hAnsi="宋体"/>
        </w:rPr>
      </w:pPr>
      <w:r>
        <w:rPr>
          <w:rFonts w:hint="eastAsia" w:ascii="宋体" w:hAnsi="宋体"/>
        </w:rPr>
        <w:t>伦理模块强调信息使用的道德规范和法律边界，帮助</w:t>
      </w:r>
      <w:r>
        <w:rPr>
          <w:rFonts w:hint="eastAsia" w:ascii="宋体" w:hAnsi="宋体"/>
          <w:lang w:val="en-US" w:eastAsia="zh-CN"/>
        </w:rPr>
        <w:t>我们</w:t>
      </w:r>
      <w:r>
        <w:rPr>
          <w:rFonts w:hint="eastAsia" w:ascii="宋体" w:hAnsi="宋体"/>
        </w:rPr>
        <w:t>树立正确的信息伦理观，确保在信息时代能够合法、合规地利用信息，维护个人和社会的利益。</w:t>
      </w:r>
    </w:p>
    <w:p>
      <w:pPr>
        <w:spacing w:line="360" w:lineRule="auto"/>
        <w:ind w:firstLine="480" w:firstLineChars="200"/>
        <w:rPr>
          <w:rFonts w:hint="eastAsia" w:ascii="宋体" w:hAnsi="宋体"/>
        </w:rPr>
      </w:pPr>
      <w:r>
        <w:rPr>
          <w:rFonts w:hint="eastAsia" w:ascii="宋体" w:hAnsi="宋体"/>
        </w:rPr>
        <w:t>学术模块注重学术诚信和学术规范的教育，通过讲解学术引用等技巧，提升学生的学术素养，为未来的学术发展奠定良好基础。</w:t>
      </w:r>
    </w:p>
    <w:p>
      <w:pPr>
        <w:spacing w:line="360" w:lineRule="auto"/>
        <w:ind w:firstLine="480" w:firstLineChars="200"/>
        <w:rPr>
          <w:rFonts w:hint="eastAsia" w:ascii="宋体" w:hAnsi="宋体"/>
        </w:rPr>
      </w:pPr>
      <w:r>
        <w:rPr>
          <w:rFonts w:hint="eastAsia" w:ascii="宋体" w:hAnsi="宋体"/>
        </w:rPr>
        <w:t>素养模块则涵盖了信息素养的多个方面，包括信息意识、信息技能和信息道德等，旨在全面提升</w:t>
      </w:r>
      <w:r>
        <w:rPr>
          <w:rFonts w:hint="eastAsia" w:ascii="宋体" w:hAnsi="宋体"/>
          <w:lang w:val="en-US" w:eastAsia="zh-CN"/>
        </w:rPr>
        <w:t>我们</w:t>
      </w:r>
      <w:r>
        <w:rPr>
          <w:rFonts w:hint="eastAsia" w:ascii="宋体" w:hAnsi="宋体"/>
        </w:rPr>
        <w:t>的信息素养水平，</w:t>
      </w:r>
      <w:r>
        <w:rPr>
          <w:rFonts w:hint="eastAsia" w:ascii="宋体" w:hAnsi="宋体"/>
          <w:lang w:val="en-US" w:eastAsia="zh-CN"/>
        </w:rPr>
        <w:t>如教会我们简单的运用PS等软件</w:t>
      </w:r>
      <w:r>
        <w:rPr>
          <w:rFonts w:hint="eastAsia" w:ascii="宋体" w:hAnsi="宋体"/>
        </w:rPr>
        <w:t>使其能够更好地适应信息社会的发展需求。</w:t>
      </w:r>
    </w:p>
    <w:p>
      <w:pPr>
        <w:spacing w:line="360" w:lineRule="auto"/>
        <w:ind w:firstLine="480" w:firstLineChars="200"/>
        <w:rPr>
          <w:rFonts w:hint="eastAsia" w:ascii="宋体" w:hAnsi="宋体"/>
        </w:rPr>
      </w:pPr>
      <w:r>
        <w:rPr>
          <w:rFonts w:hint="eastAsia" w:ascii="宋体" w:hAnsi="宋体"/>
        </w:rPr>
        <w:t>创新模块鼓励</w:t>
      </w:r>
      <w:r>
        <w:rPr>
          <w:rFonts w:hint="eastAsia" w:ascii="宋体" w:hAnsi="宋体"/>
          <w:lang w:val="en-US" w:eastAsia="zh-CN"/>
        </w:rPr>
        <w:t>我们</w:t>
      </w:r>
      <w:r>
        <w:rPr>
          <w:rFonts w:hint="eastAsia" w:ascii="宋体" w:hAnsi="宋体"/>
        </w:rPr>
        <w:t>运用所学知识进行实践创新，通过项目式学习、竞赛等方式，激发</w:t>
      </w:r>
      <w:r>
        <w:rPr>
          <w:rFonts w:hint="eastAsia" w:ascii="宋体" w:hAnsi="宋体"/>
          <w:lang w:val="en-US" w:eastAsia="zh-CN"/>
        </w:rPr>
        <w:t>我们</w:t>
      </w:r>
      <w:r>
        <w:rPr>
          <w:rFonts w:hint="eastAsia" w:ascii="宋体" w:hAnsi="宋体"/>
        </w:rPr>
        <w:t>的创新潜能，培养具有创新精神和实践能力的高素质人才。</w:t>
      </w:r>
    </w:p>
    <w:p>
      <w:pPr>
        <w:spacing w:line="360" w:lineRule="auto"/>
        <w:ind w:firstLine="480" w:firstLineChars="200"/>
        <w:rPr>
          <w:rFonts w:hint="eastAsia" w:ascii="宋体" w:hAnsi="宋体"/>
        </w:rPr>
      </w:pPr>
      <w:r>
        <w:rPr>
          <w:rFonts w:hint="eastAsia" w:ascii="宋体" w:hAnsi="宋体"/>
        </w:rPr>
        <w:t>综上所述，《大学生信息素养》课程各模块设计合理，内容全面，对于提升学生的信息素养和综合能力具有重要意义。</w:t>
      </w:r>
    </w:p>
    <w:p>
      <w:pPr>
        <w:spacing w:line="360" w:lineRule="auto"/>
        <w:rPr>
          <w:rFonts w:hint="eastAsia"/>
        </w:rPr>
      </w:pPr>
      <w:r>
        <w:rPr>
          <w:rFonts w:hint="eastAsia"/>
        </w:rPr>
        <w:t>【2】</w:t>
      </w:r>
    </w:p>
    <w:p>
      <w:pPr>
        <w:spacing w:line="360" w:lineRule="auto"/>
        <w:jc w:val="center"/>
        <w:rPr>
          <w:rFonts w:hint="eastAsia"/>
          <w:b/>
          <w:bCs/>
        </w:rPr>
      </w:pPr>
      <w:r>
        <w:rPr>
          <w:rFonts w:hint="eastAsia"/>
          <w:b/>
          <w:bCs/>
        </w:rPr>
        <w:t>人类技术史的时间线探索：从火光到未来的智能</w:t>
      </w:r>
    </w:p>
    <w:p>
      <w:pPr>
        <w:spacing w:line="360" w:lineRule="auto"/>
        <w:ind w:firstLine="480" w:firstLineChars="200"/>
        <w:rPr>
          <w:rFonts w:hint="eastAsia" w:ascii="宋体" w:hAnsi="宋体"/>
        </w:rPr>
      </w:pPr>
      <w:r>
        <w:rPr>
          <w:rFonts w:hint="eastAsia" w:ascii="宋体" w:hAnsi="宋体"/>
        </w:rPr>
        <w:t>在人类发展的长河中，技术是推动文明不断前行的核心动力。从最初学会使用火的那一刻起，我们的祖先就踏上了探索技术的道路。这篇文章将沿着《科技之巅2：麻省理工科技评论2017年10大全球突破性技术深度剖析》前言中“火光与脚印”的线索，梳理并探讨人类技术史的发展脉络。</w:t>
      </w:r>
    </w:p>
    <w:p>
      <w:pPr>
        <w:spacing w:line="360" w:lineRule="auto"/>
        <w:ind w:firstLine="482" w:firstLineChars="200"/>
        <w:rPr>
          <w:rFonts w:hint="eastAsia" w:ascii="宋体" w:hAnsi="宋体"/>
          <w:b/>
          <w:bCs/>
        </w:rPr>
      </w:pPr>
      <w:r>
        <w:rPr>
          <w:rFonts w:hint="eastAsia" w:ascii="宋体" w:hAnsi="宋体"/>
          <w:b/>
          <w:bCs/>
        </w:rPr>
        <w:t>远古时期：火的发现与语言的诞生</w:t>
      </w:r>
    </w:p>
    <w:p>
      <w:pPr>
        <w:spacing w:line="360" w:lineRule="auto"/>
        <w:ind w:firstLine="480" w:firstLineChars="200"/>
        <w:rPr>
          <w:rFonts w:hint="eastAsia" w:ascii="宋体" w:hAnsi="宋体"/>
        </w:rPr>
      </w:pPr>
      <w:r>
        <w:rPr>
          <w:rFonts w:hint="eastAsia" w:ascii="宋体" w:hAnsi="宋体"/>
        </w:rPr>
        <w:t>大约几十万年前，我们的祖先还处在原始阶段，与各种猿类一同生活在非洲的丛林中。然而，某种基因突变或偶然的发现让一种猿类脱颖而出，他们学会了使用锋利的石块采割果实和捕猎动物，这标志着人类——智人的诞生。随后，智人又掌握了取火的技术，这可以说是人类技术史上的一大革命。火煮熟了食物，改善了人类的营养结构，促进了大脑的发育和进化。同时，火提供了温暖和照明，让人类在寒冷的冰河时期得以生存，夜晚也能进行活动。</w:t>
      </w:r>
    </w:p>
    <w:p>
      <w:pPr>
        <w:spacing w:line="360" w:lineRule="auto"/>
        <w:ind w:firstLine="480" w:firstLineChars="200"/>
        <w:rPr>
          <w:rFonts w:hint="eastAsia" w:ascii="宋体" w:hAnsi="宋体"/>
        </w:rPr>
      </w:pPr>
      <w:r>
        <w:rPr>
          <w:rFonts w:hint="eastAsia" w:ascii="宋体" w:hAnsi="宋体"/>
        </w:rPr>
        <w:t>与火同样重要的是语言的诞生。语言从简单的叫喊进化而来，逐渐发展到能够表达复杂的思想和情感。语言的出现让人类能够交流思想，集结同类，形成社会组织，这为人类的文明发展奠定了基础。</w:t>
      </w:r>
    </w:p>
    <w:p>
      <w:pPr>
        <w:spacing w:line="360" w:lineRule="auto"/>
        <w:ind w:firstLine="482" w:firstLineChars="200"/>
        <w:rPr>
          <w:rFonts w:hint="eastAsia" w:ascii="宋体" w:hAnsi="宋体"/>
          <w:b/>
          <w:bCs/>
        </w:rPr>
      </w:pPr>
      <w:r>
        <w:rPr>
          <w:rFonts w:hint="eastAsia" w:ascii="宋体" w:hAnsi="宋体"/>
          <w:b/>
          <w:bCs/>
        </w:rPr>
        <w:t>新石器时代：农业与工具的发展</w:t>
      </w:r>
    </w:p>
    <w:p>
      <w:pPr>
        <w:spacing w:line="360" w:lineRule="auto"/>
        <w:ind w:firstLine="480" w:firstLineChars="200"/>
        <w:rPr>
          <w:rFonts w:hint="eastAsia" w:ascii="宋体" w:hAnsi="宋体"/>
        </w:rPr>
      </w:pPr>
      <w:r>
        <w:rPr>
          <w:rFonts w:hint="eastAsia" w:ascii="宋体" w:hAnsi="宋体"/>
        </w:rPr>
        <w:t>大约一万年前，人类进入新石器时代，以制陶技术为标志。人们开始制作陶器，这不仅提升了生活质量，还推动了金属冶炼技术的发展。新石器时代的人们掌握了野生植物的生长规律，开始播种和耕作，农业和牧业技术得以发展。这一时期的进步不仅提升了人类的食物产量，还促进了社会的分工和专业化，专职的工匠和艺术家开始出现。</w:t>
      </w:r>
    </w:p>
    <w:p>
      <w:pPr>
        <w:spacing w:line="360" w:lineRule="auto"/>
        <w:ind w:firstLine="480" w:firstLineChars="200"/>
        <w:rPr>
          <w:rFonts w:hint="eastAsia" w:ascii="宋体" w:hAnsi="宋体"/>
        </w:rPr>
      </w:pPr>
      <w:r>
        <w:rPr>
          <w:rFonts w:hint="eastAsia" w:ascii="宋体" w:hAnsi="宋体"/>
        </w:rPr>
        <w:t>随后，人们开始观察天空，判断方向、季节和收割时间，这推动了天文学和历法的发展。青铜器的出现更是推动了生产力的大幅提升，人们开始使用动物来牵引和运输，车和船等交通工具开始出现。这些技术的发展为人类社会的进步提供了强大的动力。</w:t>
      </w:r>
    </w:p>
    <w:p>
      <w:pPr>
        <w:spacing w:line="360" w:lineRule="auto"/>
        <w:ind w:firstLine="482" w:firstLineChars="200"/>
        <w:rPr>
          <w:rFonts w:hint="eastAsia" w:ascii="宋体" w:hAnsi="宋体"/>
          <w:b/>
          <w:bCs/>
        </w:rPr>
      </w:pPr>
      <w:r>
        <w:rPr>
          <w:rFonts w:hint="eastAsia" w:ascii="宋体" w:hAnsi="宋体"/>
          <w:b/>
          <w:bCs/>
        </w:rPr>
        <w:t>工业革命：蒸汽与电力的时代</w:t>
      </w:r>
    </w:p>
    <w:p>
      <w:pPr>
        <w:spacing w:line="360" w:lineRule="auto"/>
        <w:ind w:firstLine="480" w:firstLineChars="200"/>
        <w:rPr>
          <w:rFonts w:hint="eastAsia" w:ascii="宋体" w:hAnsi="宋体"/>
        </w:rPr>
      </w:pPr>
      <w:r>
        <w:rPr>
          <w:rFonts w:hint="eastAsia" w:ascii="宋体" w:hAnsi="宋体"/>
        </w:rPr>
        <w:t>18世纪60年代，英国率先爆发了工业革命，蒸汽机的发明和使用标志着人类进入了蒸汽时代。蒸汽机的出现极大地提升了生产效率，推动了工业、交通和能源领域的变革。随后，电力技术的发展更是将人类带入了一个全新的时代。电灯、电话、电报等电器的发明，不仅改善了人们的生活质量，还推动了信息传输和通信技术的发展。</w:t>
      </w:r>
    </w:p>
    <w:p>
      <w:pPr>
        <w:spacing w:line="360" w:lineRule="auto"/>
        <w:ind w:firstLine="480" w:firstLineChars="200"/>
        <w:rPr>
          <w:rFonts w:hint="eastAsia" w:ascii="宋体" w:hAnsi="宋体"/>
        </w:rPr>
      </w:pPr>
      <w:r>
        <w:rPr>
          <w:rFonts w:hint="eastAsia" w:ascii="宋体" w:hAnsi="宋体"/>
        </w:rPr>
        <w:t>20世纪，汽车、飞机等交通工具的出现进一步缩短了人与人之间的距离，加速了全球化进程。同时，无线电、电视等媒体技术的发明，让信息传输变得更加迅速和便捷，推动了新闻传播和娱乐产业的发展。</w:t>
      </w:r>
    </w:p>
    <w:p>
      <w:pPr>
        <w:spacing w:line="360" w:lineRule="auto"/>
        <w:ind w:firstLine="422" w:firstLineChars="200"/>
        <w:rPr>
          <w:rFonts w:hint="eastAsia" w:ascii="宋体" w:hAnsi="宋体"/>
          <w:b/>
          <w:bCs/>
          <w:sz w:val="21"/>
          <w:szCs w:val="21"/>
        </w:rPr>
      </w:pPr>
      <w:r>
        <w:rPr>
          <w:rFonts w:hint="eastAsia" w:ascii="宋体" w:hAnsi="宋体"/>
          <w:b/>
          <w:bCs/>
          <w:sz w:val="21"/>
          <w:szCs w:val="21"/>
        </w:rPr>
        <w:t>数字时代：互联网的兴起与人工智能的突破</w:t>
      </w:r>
    </w:p>
    <w:p>
      <w:pPr>
        <w:spacing w:line="360" w:lineRule="auto"/>
        <w:ind w:firstLine="480" w:firstLineChars="200"/>
        <w:rPr>
          <w:rFonts w:hint="eastAsia" w:ascii="宋体" w:hAnsi="宋体"/>
        </w:rPr>
      </w:pPr>
      <w:r>
        <w:rPr>
          <w:rFonts w:hint="eastAsia" w:ascii="宋体" w:hAnsi="宋体"/>
        </w:rPr>
        <w:t>进入21世纪，人类进入了数字时代。互联网技术的普及让信息传播更加迅速和广泛，电子商务、在线教育等新兴产业的兴起改变了人们的生活方式。同时，移动通信技术的发展让手机等移动设备成为人们生活中不可或缺的一部分，社交媒体、移动支付等新兴应用让人们的生活变得更加便捷和智能。</w:t>
      </w:r>
    </w:p>
    <w:p>
      <w:pPr>
        <w:spacing w:line="360" w:lineRule="auto"/>
        <w:ind w:firstLine="480" w:firstLineChars="200"/>
        <w:rPr>
          <w:rFonts w:hint="eastAsia" w:ascii="宋体" w:hAnsi="宋体"/>
        </w:rPr>
      </w:pPr>
      <w:r>
        <w:rPr>
          <w:rFonts w:hint="eastAsia" w:ascii="宋体" w:hAnsi="宋体"/>
        </w:rPr>
        <w:t>近年来，人工智能技术的突破更是推动了人类技术史的又一次革命。机器学习、深度学习等技术的发展让计算机能够像人一样自主学习和决策，推动了自动驾驶、智能家居等新兴产业的发展。同时，量子计算、基因编辑等前沿技术的突破也为人类社会的发展提供了新的动力。</w:t>
      </w:r>
    </w:p>
    <w:p>
      <w:pPr>
        <w:spacing w:line="360" w:lineRule="auto"/>
        <w:ind w:firstLine="482" w:firstLineChars="200"/>
        <w:rPr>
          <w:rFonts w:hint="eastAsia" w:ascii="宋体" w:hAnsi="宋体"/>
          <w:b/>
          <w:bCs/>
        </w:rPr>
      </w:pPr>
      <w:bookmarkStart w:id="0" w:name="_GoBack"/>
      <w:r>
        <w:rPr>
          <w:rFonts w:hint="eastAsia" w:ascii="宋体" w:hAnsi="宋体"/>
          <w:b/>
          <w:bCs/>
        </w:rPr>
        <w:t>未来展望：智能科技的无限可能</w:t>
      </w:r>
    </w:p>
    <w:bookmarkEnd w:id="0"/>
    <w:p>
      <w:pPr>
        <w:spacing w:line="360" w:lineRule="auto"/>
        <w:ind w:firstLine="480" w:firstLineChars="200"/>
        <w:rPr>
          <w:rFonts w:hint="eastAsia" w:ascii="宋体" w:hAnsi="宋体"/>
        </w:rPr>
      </w:pPr>
      <w:r>
        <w:rPr>
          <w:rFonts w:hint="eastAsia" w:ascii="宋体" w:hAnsi="宋体"/>
        </w:rPr>
        <w:t>展望未来，人类技术史将继续书写新的篇章。随着人工智能、量子计算等技术的不断发展，我们有望看到更加智能、高效和可持续的社会发展模式。同时，新能源、生物医疗等领域的突破也将为人类社会的发展提供更多的可能性。</w:t>
      </w:r>
    </w:p>
    <w:p>
      <w:pPr>
        <w:spacing w:line="360" w:lineRule="auto"/>
        <w:ind w:firstLine="480" w:firstLineChars="200"/>
        <w:rPr>
          <w:rFonts w:hint="eastAsia" w:ascii="宋体" w:hAnsi="宋体"/>
        </w:rPr>
      </w:pPr>
      <w:r>
        <w:rPr>
          <w:rFonts w:hint="eastAsia" w:ascii="宋体" w:hAnsi="宋体"/>
        </w:rPr>
        <w:t>然而，技术的快速发展也带来了许多挑战和问题。如何确保技术的安全、可控和可持续？如何平衡技术发展与伦理、法律和社会责任的关系？这些问题将需要我们共同思考和解决。</w:t>
      </w:r>
    </w:p>
    <w:p>
      <w:pPr>
        <w:spacing w:line="360" w:lineRule="auto"/>
        <w:ind w:firstLine="480" w:firstLineChars="200"/>
        <w:rPr>
          <w:rFonts w:hint="eastAsia"/>
        </w:rPr>
      </w:pPr>
      <w:r>
        <w:rPr>
          <w:rFonts w:hint="eastAsia" w:ascii="宋体" w:hAnsi="宋体"/>
        </w:rPr>
        <w:t>总之，人类技术史是一部充满智慧和创新的历史。从最初的火光与脚印到如今的智能科技，我们的祖先一直在探索未知、追求进步。未来，我们将继续沿着这条道路前行，用智慧</w:t>
      </w:r>
      <w:r>
        <w:rPr>
          <w:rFonts w:hint="eastAsia"/>
        </w:rPr>
        <w:t>和勇气书写人类技术史的新篇章。</w:t>
      </w:r>
    </w:p>
    <w:p>
      <w:pPr>
        <w:spacing w:line="360" w:lineRule="auto"/>
        <w:rPr>
          <w:rFonts w:hint="eastAsia"/>
        </w:rPr>
      </w:pPr>
    </w:p>
    <w:p>
      <w:pPr>
        <w:spacing w:line="360" w:lineRule="auto"/>
        <w:rPr>
          <w:rFonts w:hint="eastAsia"/>
        </w:rPr>
      </w:pPr>
    </w:p>
    <w:sectPr>
      <w:headerReference r:id="rId3" w:type="default"/>
      <w:footerReference r:id="rId4" w:type="default"/>
      <w:pgSz w:w="11906" w:h="16838"/>
      <w:pgMar w:top="1701" w:right="1134" w:bottom="1361" w:left="1134" w:header="680" w:footer="567"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 w:name="Swiss 721 SWA">
    <w:altName w:val="Yu Gothic UI"/>
    <w:panose1 w:val="020B0504020202020204"/>
    <w:charset w:val="00"/>
    <w:family w:val="swiss"/>
    <w:pitch w:val="default"/>
    <w:sig w:usb0="00000000" w:usb1="00000000" w:usb2="00000000" w:usb3="00000000" w:csb0="0000001B" w:csb1="00000000"/>
  </w:font>
  <w:font w:name="Consolas">
    <w:panose1 w:val="020B0609020204030204"/>
    <w:charset w:val="00"/>
    <w:family w:val="modern"/>
    <w:pitch w:val="default"/>
    <w:sig w:usb0="E00006FF" w:usb1="0000FCFF" w:usb2="00000001" w:usb3="00000000" w:csb0="6000019F" w:csb1="DFD70000"/>
  </w:font>
  <w:font w:name="Yu Gothic UI">
    <w:panose1 w:val="020B0500000000000000"/>
    <w:charset w:val="80"/>
    <w:family w:val="auto"/>
    <w:pitch w:val="default"/>
    <w:sig w:usb0="E00002FF" w:usb1="2AC7FDFF" w:usb2="00000016" w:usb3="00000000" w:csb0="2002009F" w:csb1="00000000"/>
  </w:font>
  <w:font w:name="Segoe UI">
    <w:panose1 w:val="020B05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
      <w:tblW w:w="0" w:type="auto"/>
      <w:tblInd w:w="0" w:type="dxa"/>
      <w:tblBorders>
        <w:top w:val="single" w:color="004EA2" w:sz="6"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8505"/>
      <w:gridCol w:w="1123"/>
    </w:tblGrid>
    <w:tr>
      <w:tblPrEx>
        <w:tblBorders>
          <w:top w:val="single" w:color="004EA2" w:sz="6" w:space="0"/>
          <w:left w:val="none" w:color="auto" w:sz="0" w:space="0"/>
          <w:bottom w:val="none" w:color="auto" w:sz="0" w:space="0"/>
          <w:right w:val="none" w:color="auto" w:sz="0" w:space="0"/>
          <w:insideH w:val="none" w:color="auto" w:sz="0" w:space="0"/>
          <w:insideV w:val="none" w:color="auto" w:sz="0" w:space="0"/>
        </w:tblBorders>
      </w:tblPrEx>
      <w:trPr>
        <w:trHeight w:val="699" w:hRule="atLeast"/>
      </w:trPr>
      <w:tc>
        <w:tcPr>
          <w:tcW w:w="8505" w:type="dxa"/>
          <w:vAlign w:val="center"/>
        </w:tcPr>
        <w:p>
          <w:pPr>
            <w:pStyle w:val="4"/>
            <w:jc w:val="both"/>
            <w:rPr>
              <w:rFonts w:hint="eastAsia" w:ascii="微软雅黑" w:hAnsi="微软雅黑" w:eastAsia="微软雅黑"/>
            </w:rPr>
          </w:pPr>
          <w:r>
            <w:rPr>
              <w:rFonts w:hint="eastAsia" w:ascii="微软雅黑" w:hAnsi="微软雅黑" w:eastAsia="微软雅黑"/>
            </w:rPr>
            <w:t>地址：陕西省西安市长安区东祥路</w:t>
          </w:r>
          <w:r>
            <w:rPr>
              <w:rFonts w:ascii="微软雅黑" w:hAnsi="微软雅黑" w:eastAsia="微软雅黑"/>
            </w:rPr>
            <w:t xml:space="preserve">1号计算机学院  邮编:710129 </w:t>
          </w:r>
        </w:p>
        <w:p>
          <w:pPr>
            <w:pStyle w:val="4"/>
            <w:jc w:val="both"/>
            <w:rPr>
              <w:rFonts w:hint="eastAsia" w:ascii="微软雅黑" w:hAnsi="微软雅黑" w:eastAsia="微软雅黑"/>
            </w:rPr>
          </w:pPr>
          <w:r>
            <w:rPr>
              <w:rFonts w:ascii="微软雅黑" w:hAnsi="微软雅黑" w:eastAsia="微软雅黑"/>
            </w:rPr>
            <w:t>ADD: 1 Dongxiang Road, Chang'an District, Xi'an Shaanxi,710129, P.R.China.</w:t>
          </w:r>
        </w:p>
      </w:tc>
      <w:tc>
        <w:tcPr>
          <w:tcW w:w="1123" w:type="dxa"/>
          <w:vAlign w:val="center"/>
        </w:tcPr>
        <w:p>
          <w:pPr>
            <w:pStyle w:val="4"/>
            <w:jc w:val="center"/>
            <w:rPr>
              <w:rFonts w:ascii="Consolas" w:hAnsi="Consolas" w:eastAsia="微软雅黑" w:cs="Consolas"/>
              <w:sz w:val="24"/>
              <w:szCs w:val="24"/>
            </w:rPr>
          </w:pPr>
          <w:r>
            <w:rPr>
              <w:rFonts w:ascii="Consolas" w:hAnsi="Consolas" w:eastAsia="微软雅黑" w:cs="Consolas"/>
              <w:sz w:val="24"/>
              <w:szCs w:val="24"/>
            </w:rPr>
            <w:fldChar w:fldCharType="begin"/>
          </w:r>
          <w:r>
            <w:rPr>
              <w:rFonts w:ascii="Consolas" w:hAnsi="Consolas" w:eastAsia="微软雅黑" w:cs="Consolas"/>
              <w:sz w:val="24"/>
              <w:szCs w:val="24"/>
            </w:rPr>
            <w:instrText xml:space="preserve">PAGE   \* MERGEFORMAT</w:instrText>
          </w:r>
          <w:r>
            <w:rPr>
              <w:rFonts w:ascii="Consolas" w:hAnsi="Consolas" w:eastAsia="微软雅黑" w:cs="Consolas"/>
              <w:sz w:val="24"/>
              <w:szCs w:val="24"/>
            </w:rPr>
            <w:fldChar w:fldCharType="separate"/>
          </w:r>
          <w:r>
            <w:rPr>
              <w:rFonts w:ascii="Consolas" w:hAnsi="Consolas" w:eastAsia="微软雅黑" w:cs="Consolas"/>
              <w:sz w:val="24"/>
              <w:szCs w:val="24"/>
              <w:lang w:val="zh-CN"/>
            </w:rPr>
            <w:t>2</w:t>
          </w:r>
          <w:r>
            <w:rPr>
              <w:rFonts w:ascii="Consolas" w:hAnsi="Consolas" w:eastAsia="微软雅黑" w:cs="Consolas"/>
              <w:sz w:val="24"/>
              <w:szCs w:val="24"/>
            </w:rPr>
            <w:fldChar w:fldCharType="end"/>
          </w:r>
        </w:p>
      </w:tc>
    </w:tr>
  </w:tbl>
  <w:p>
    <w:pPr>
      <w:pStyle w:val="4"/>
      <w:spacing w:line="40" w:lineRule="exact"/>
      <w:rPr>
        <w:rFonts w:hint="eastAsia" w:ascii="宋体" w:hAnsi="宋体"/>
        <w:sz w:val="10"/>
        <w:szCs w:val="10"/>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
      <w:tblW w:w="0" w:type="auto"/>
      <w:tblInd w:w="0" w:type="dxa"/>
      <w:tblBorders>
        <w:top w:val="none" w:color="auto" w:sz="0" w:space="0"/>
        <w:left w:val="none" w:color="auto" w:sz="0" w:space="0"/>
        <w:bottom w:val="single" w:color="004EA2" w:sz="6"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4820"/>
      <w:gridCol w:w="2977"/>
      <w:gridCol w:w="1831"/>
    </w:tblGrid>
    <w:tr>
      <w:tblPrEx>
        <w:tblBorders>
          <w:top w:val="none" w:color="auto" w:sz="0" w:space="0"/>
          <w:left w:val="none" w:color="auto" w:sz="0" w:space="0"/>
          <w:bottom w:val="single" w:color="004EA2" w:sz="6" w:space="0"/>
          <w:right w:val="none" w:color="auto" w:sz="0" w:space="0"/>
          <w:insideH w:val="none" w:color="auto" w:sz="0" w:space="0"/>
          <w:insideV w:val="none" w:color="auto" w:sz="0" w:space="0"/>
        </w:tblBorders>
        <w:tblCellMar>
          <w:top w:w="0" w:type="dxa"/>
          <w:left w:w="0" w:type="dxa"/>
          <w:bottom w:w="0" w:type="dxa"/>
          <w:right w:w="0" w:type="dxa"/>
        </w:tblCellMar>
      </w:tblPrEx>
      <w:tc>
        <w:tcPr>
          <w:tcW w:w="4820" w:type="dxa"/>
          <w:vMerge w:val="restart"/>
          <w:vAlign w:val="center"/>
        </w:tcPr>
        <w:p>
          <w:pPr>
            <w:pStyle w:val="5"/>
            <w:pBdr>
              <w:bottom w:val="none" w:color="auto" w:sz="0" w:space="0"/>
            </w:pBdr>
            <w:jc w:val="both"/>
            <w:rPr>
              <w:rFonts w:hint="eastAsia" w:ascii="微软雅黑" w:hAnsi="微软雅黑" w:eastAsia="微软雅黑"/>
              <w:sz w:val="32"/>
              <w:szCs w:val="32"/>
            </w:rPr>
          </w:pPr>
          <w:r>
            <w:rPr>
              <w:rFonts w:ascii="微软雅黑" w:hAnsi="微软雅黑" w:eastAsia="微软雅黑"/>
              <w:sz w:val="32"/>
              <w:szCs w:val="32"/>
            </w:rPr>
            <w:t>作业纸</w:t>
          </w:r>
        </w:p>
        <w:p>
          <w:pPr>
            <w:pStyle w:val="5"/>
            <w:pBdr>
              <w:bottom w:val="none" w:color="auto" w:sz="0" w:space="0"/>
            </w:pBdr>
            <w:jc w:val="both"/>
            <w:rPr>
              <w:rFonts w:hint="eastAsia" w:ascii="微软雅黑" w:hAnsi="微软雅黑" w:eastAsia="微软雅黑"/>
            </w:rPr>
          </w:pPr>
          <w:r>
            <w:rPr>
              <w:rFonts w:hint="eastAsia" w:ascii="微软雅黑" w:hAnsi="微软雅黑" w:eastAsia="微软雅黑"/>
            </w:rPr>
            <w:t>大学生信息素养</w:t>
          </w:r>
        </w:p>
      </w:tc>
      <w:tc>
        <w:tcPr>
          <w:tcW w:w="2977" w:type="dxa"/>
          <w:vMerge w:val="restart"/>
          <w:vAlign w:val="center"/>
        </w:tcPr>
        <w:p>
          <w:pPr>
            <w:pStyle w:val="5"/>
            <w:pBdr>
              <w:bottom w:val="none" w:color="auto" w:sz="0" w:space="0"/>
            </w:pBdr>
            <w:jc w:val="both"/>
            <w:rPr>
              <w:rFonts w:hint="eastAsia" w:ascii="宋体" w:hAnsi="宋体"/>
            </w:rPr>
          </w:pPr>
        </w:p>
      </w:tc>
      <w:tc>
        <w:tcPr>
          <w:tcW w:w="1831" w:type="dxa"/>
          <w:vAlign w:val="center"/>
        </w:tcPr>
        <w:p>
          <w:pPr>
            <w:pStyle w:val="5"/>
            <w:pBdr>
              <w:bottom w:val="none" w:color="auto" w:sz="0" w:space="0"/>
            </w:pBdr>
            <w:rPr>
              <w:rFonts w:hint="eastAsia" w:ascii="宋体" w:hAnsi="宋体"/>
            </w:rPr>
          </w:pPr>
          <w:r>
            <w:rPr>
              <w:rFonts w:ascii="宋体" w:hAnsi="宋体"/>
            </w:rPr>
            <w:drawing>
              <wp:inline distT="0" distB="0" distL="0" distR="0">
                <wp:extent cx="408940" cy="40957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443119" cy="443432"/>
                        </a:xfrm>
                        <a:prstGeom prst="rect">
                          <a:avLst/>
                        </a:prstGeom>
                      </pic:spPr>
                    </pic:pic>
                  </a:graphicData>
                </a:graphic>
              </wp:inline>
            </w:drawing>
          </w:r>
        </w:p>
      </w:tc>
    </w:tr>
    <w:tr>
      <w:tblPrEx>
        <w:tblBorders>
          <w:top w:val="none" w:color="auto" w:sz="0" w:space="0"/>
          <w:left w:val="none" w:color="auto" w:sz="0" w:space="0"/>
          <w:bottom w:val="single" w:color="004EA2" w:sz="6" w:space="0"/>
          <w:right w:val="none" w:color="auto" w:sz="0" w:space="0"/>
          <w:insideH w:val="none" w:color="auto" w:sz="0" w:space="0"/>
          <w:insideV w:val="none" w:color="auto" w:sz="0" w:space="0"/>
        </w:tblBorders>
        <w:tblCellMar>
          <w:top w:w="0" w:type="dxa"/>
          <w:left w:w="0" w:type="dxa"/>
          <w:bottom w:w="0" w:type="dxa"/>
          <w:right w:w="0" w:type="dxa"/>
        </w:tblCellMar>
      </w:tblPrEx>
      <w:tc>
        <w:tcPr>
          <w:tcW w:w="4820" w:type="dxa"/>
          <w:vMerge w:val="continue"/>
          <w:vAlign w:val="center"/>
        </w:tcPr>
        <w:p>
          <w:pPr>
            <w:pStyle w:val="5"/>
            <w:pBdr>
              <w:bottom w:val="none" w:color="auto" w:sz="0" w:space="0"/>
            </w:pBdr>
            <w:jc w:val="both"/>
            <w:rPr>
              <w:rFonts w:hint="eastAsia" w:ascii="微软雅黑" w:hAnsi="微软雅黑" w:eastAsia="微软雅黑"/>
              <w:sz w:val="32"/>
              <w:szCs w:val="32"/>
            </w:rPr>
          </w:pPr>
        </w:p>
      </w:tc>
      <w:tc>
        <w:tcPr>
          <w:tcW w:w="2977" w:type="dxa"/>
          <w:vMerge w:val="continue"/>
          <w:vAlign w:val="center"/>
        </w:tcPr>
        <w:p>
          <w:pPr>
            <w:pStyle w:val="5"/>
            <w:pBdr>
              <w:bottom w:val="none" w:color="auto" w:sz="0" w:space="0"/>
            </w:pBdr>
            <w:jc w:val="both"/>
            <w:rPr>
              <w:rFonts w:hint="eastAsia" w:ascii="宋体" w:hAnsi="宋体"/>
            </w:rPr>
          </w:pPr>
        </w:p>
      </w:tc>
      <w:tc>
        <w:tcPr>
          <w:tcW w:w="1831" w:type="dxa"/>
          <w:vAlign w:val="center"/>
        </w:tcPr>
        <w:p>
          <w:pPr>
            <w:pStyle w:val="5"/>
            <w:pBdr>
              <w:bottom w:val="none" w:color="auto" w:sz="0" w:space="0"/>
            </w:pBdr>
            <w:rPr>
              <w:rFonts w:ascii="Swiss 721 SWA" w:hAnsi="Swiss 721 SWA"/>
              <w:sz w:val="13"/>
              <w:szCs w:val="13"/>
            </w:rPr>
          </w:pPr>
          <w:r>
            <w:rPr>
              <w:rFonts w:ascii="Swiss 721 SWA" w:hAnsi="Swiss 721 SWA"/>
              <w:sz w:val="13"/>
              <w:szCs w:val="13"/>
            </w:rPr>
            <w:t>INFORMATION LITERACY</w:t>
          </w:r>
        </w:p>
      </w:tc>
    </w:tr>
  </w:tbl>
  <w:p>
    <w:pPr>
      <w:pStyle w:val="5"/>
      <w:pBdr>
        <w:bottom w:val="none" w:color="auto" w:sz="0" w:space="0"/>
      </w:pBdr>
      <w:spacing w:line="120" w:lineRule="exact"/>
      <w:rPr>
        <w:rFonts w:hint="eastAsia" w:ascii="宋体" w:hAnsi="宋体"/>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mZlMjc5ZjAwYWEwZjA1ZDFmYzA0YTU5ZjBkN2Y0MzkifQ=="/>
  </w:docVars>
  <w:rsids>
    <w:rsidRoot w:val="002D5D7D"/>
    <w:rsid w:val="00006299"/>
    <w:rsid w:val="00014495"/>
    <w:rsid w:val="00033067"/>
    <w:rsid w:val="00065B9A"/>
    <w:rsid w:val="00081A57"/>
    <w:rsid w:val="000829A9"/>
    <w:rsid w:val="000A5444"/>
    <w:rsid w:val="000A6FD1"/>
    <w:rsid w:val="000B2C6D"/>
    <w:rsid w:val="000C7677"/>
    <w:rsid w:val="000D044C"/>
    <w:rsid w:val="00101864"/>
    <w:rsid w:val="001131A6"/>
    <w:rsid w:val="00142646"/>
    <w:rsid w:val="00152D4C"/>
    <w:rsid w:val="0015381F"/>
    <w:rsid w:val="00157720"/>
    <w:rsid w:val="00185C8A"/>
    <w:rsid w:val="001A4959"/>
    <w:rsid w:val="001B06D3"/>
    <w:rsid w:val="001C5EE1"/>
    <w:rsid w:val="001E5C6C"/>
    <w:rsid w:val="001F393C"/>
    <w:rsid w:val="00205498"/>
    <w:rsid w:val="002076A2"/>
    <w:rsid w:val="00226992"/>
    <w:rsid w:val="0023643D"/>
    <w:rsid w:val="00246BEC"/>
    <w:rsid w:val="00262496"/>
    <w:rsid w:val="00282474"/>
    <w:rsid w:val="002852AC"/>
    <w:rsid w:val="002B62A2"/>
    <w:rsid w:val="002D5D7D"/>
    <w:rsid w:val="002E2485"/>
    <w:rsid w:val="003364C1"/>
    <w:rsid w:val="004303B3"/>
    <w:rsid w:val="00473AA6"/>
    <w:rsid w:val="004753B4"/>
    <w:rsid w:val="0047720C"/>
    <w:rsid w:val="0048551A"/>
    <w:rsid w:val="004911A2"/>
    <w:rsid w:val="00491F8B"/>
    <w:rsid w:val="004A3E5D"/>
    <w:rsid w:val="004A6BC9"/>
    <w:rsid w:val="004B5F8A"/>
    <w:rsid w:val="004C5268"/>
    <w:rsid w:val="004C5E33"/>
    <w:rsid w:val="004F2791"/>
    <w:rsid w:val="004F65B1"/>
    <w:rsid w:val="00506B7A"/>
    <w:rsid w:val="00516CAC"/>
    <w:rsid w:val="00536BEA"/>
    <w:rsid w:val="0055074F"/>
    <w:rsid w:val="005508DC"/>
    <w:rsid w:val="0055262A"/>
    <w:rsid w:val="005646B9"/>
    <w:rsid w:val="005A0D9D"/>
    <w:rsid w:val="005A25E6"/>
    <w:rsid w:val="005A676A"/>
    <w:rsid w:val="005B544D"/>
    <w:rsid w:val="005B6EDD"/>
    <w:rsid w:val="005D4942"/>
    <w:rsid w:val="005E1FB1"/>
    <w:rsid w:val="005E5249"/>
    <w:rsid w:val="006015BB"/>
    <w:rsid w:val="00603CA6"/>
    <w:rsid w:val="00620112"/>
    <w:rsid w:val="006746A4"/>
    <w:rsid w:val="00684A31"/>
    <w:rsid w:val="00687DD7"/>
    <w:rsid w:val="00693604"/>
    <w:rsid w:val="00697023"/>
    <w:rsid w:val="006B1D69"/>
    <w:rsid w:val="006C311A"/>
    <w:rsid w:val="006C3C05"/>
    <w:rsid w:val="006E58C2"/>
    <w:rsid w:val="00715879"/>
    <w:rsid w:val="007419C6"/>
    <w:rsid w:val="00755962"/>
    <w:rsid w:val="007603CF"/>
    <w:rsid w:val="007804ED"/>
    <w:rsid w:val="00785EA7"/>
    <w:rsid w:val="00793EDF"/>
    <w:rsid w:val="0079503B"/>
    <w:rsid w:val="007A30CC"/>
    <w:rsid w:val="007C3C45"/>
    <w:rsid w:val="007C522E"/>
    <w:rsid w:val="007D1E9C"/>
    <w:rsid w:val="00806845"/>
    <w:rsid w:val="00812C26"/>
    <w:rsid w:val="008204D3"/>
    <w:rsid w:val="00827E61"/>
    <w:rsid w:val="008429CE"/>
    <w:rsid w:val="00843946"/>
    <w:rsid w:val="00845CB9"/>
    <w:rsid w:val="0085412B"/>
    <w:rsid w:val="00861C4E"/>
    <w:rsid w:val="00863DAD"/>
    <w:rsid w:val="008A5449"/>
    <w:rsid w:val="008B459F"/>
    <w:rsid w:val="008B7423"/>
    <w:rsid w:val="008C1CD5"/>
    <w:rsid w:val="008C7956"/>
    <w:rsid w:val="008D1A22"/>
    <w:rsid w:val="008F102C"/>
    <w:rsid w:val="008F1375"/>
    <w:rsid w:val="009327F9"/>
    <w:rsid w:val="009431ED"/>
    <w:rsid w:val="009764CC"/>
    <w:rsid w:val="009A30C6"/>
    <w:rsid w:val="009C7587"/>
    <w:rsid w:val="009D5B00"/>
    <w:rsid w:val="009E011F"/>
    <w:rsid w:val="00A07539"/>
    <w:rsid w:val="00A110CB"/>
    <w:rsid w:val="00A30DFF"/>
    <w:rsid w:val="00A327B3"/>
    <w:rsid w:val="00A3748B"/>
    <w:rsid w:val="00A4637A"/>
    <w:rsid w:val="00A5767C"/>
    <w:rsid w:val="00A651A3"/>
    <w:rsid w:val="00A65EAC"/>
    <w:rsid w:val="00A65F4D"/>
    <w:rsid w:val="00A913F5"/>
    <w:rsid w:val="00AA3E36"/>
    <w:rsid w:val="00AB1547"/>
    <w:rsid w:val="00AC7C6C"/>
    <w:rsid w:val="00AE24A9"/>
    <w:rsid w:val="00AF4212"/>
    <w:rsid w:val="00B02F02"/>
    <w:rsid w:val="00B210F7"/>
    <w:rsid w:val="00B31016"/>
    <w:rsid w:val="00B43AAB"/>
    <w:rsid w:val="00B579CD"/>
    <w:rsid w:val="00B656A4"/>
    <w:rsid w:val="00B7361C"/>
    <w:rsid w:val="00B740E1"/>
    <w:rsid w:val="00B82EEB"/>
    <w:rsid w:val="00B932AD"/>
    <w:rsid w:val="00BB1955"/>
    <w:rsid w:val="00BD1364"/>
    <w:rsid w:val="00BD580B"/>
    <w:rsid w:val="00BE1A17"/>
    <w:rsid w:val="00BE3057"/>
    <w:rsid w:val="00C37025"/>
    <w:rsid w:val="00C4178A"/>
    <w:rsid w:val="00C56A5A"/>
    <w:rsid w:val="00C611CD"/>
    <w:rsid w:val="00C8667C"/>
    <w:rsid w:val="00C91460"/>
    <w:rsid w:val="00CC48F9"/>
    <w:rsid w:val="00CE2111"/>
    <w:rsid w:val="00D02AD8"/>
    <w:rsid w:val="00D63F78"/>
    <w:rsid w:val="00D648CE"/>
    <w:rsid w:val="00D740A0"/>
    <w:rsid w:val="00D87B28"/>
    <w:rsid w:val="00DA60F0"/>
    <w:rsid w:val="00DB6A58"/>
    <w:rsid w:val="00DC3650"/>
    <w:rsid w:val="00E04E08"/>
    <w:rsid w:val="00E236B0"/>
    <w:rsid w:val="00E2647D"/>
    <w:rsid w:val="00E33EE6"/>
    <w:rsid w:val="00E35626"/>
    <w:rsid w:val="00E36034"/>
    <w:rsid w:val="00E8639F"/>
    <w:rsid w:val="00E87551"/>
    <w:rsid w:val="00E87F0D"/>
    <w:rsid w:val="00E93BED"/>
    <w:rsid w:val="00EA7192"/>
    <w:rsid w:val="00EB4295"/>
    <w:rsid w:val="00EB72C0"/>
    <w:rsid w:val="00EC5714"/>
    <w:rsid w:val="00ED4A6A"/>
    <w:rsid w:val="00ED6BDA"/>
    <w:rsid w:val="00EF1F39"/>
    <w:rsid w:val="00F67AE9"/>
    <w:rsid w:val="00F80C13"/>
    <w:rsid w:val="00F97003"/>
    <w:rsid w:val="00FA24B4"/>
    <w:rsid w:val="00FD0492"/>
    <w:rsid w:val="00FE19AF"/>
    <w:rsid w:val="00FE2E64"/>
    <w:rsid w:val="037472CC"/>
    <w:rsid w:val="03E2554B"/>
    <w:rsid w:val="181A18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asciiTheme="minorHAnsi" w:hAnsiTheme="minorHAnsi" w:cstheme="minorBidi"/>
      <w:kern w:val="2"/>
      <w:sz w:val="24"/>
      <w:szCs w:val="22"/>
      <w:lang w:val="en-US" w:eastAsia="zh-CN" w:bidi="ar-SA"/>
    </w:rPr>
  </w:style>
  <w:style w:type="paragraph" w:styleId="2">
    <w:name w:val="heading 3"/>
    <w:basedOn w:val="1"/>
    <w:next w:val="1"/>
    <w:semiHidden/>
    <w:unhideWhenUsed/>
    <w:qFormat/>
    <w:uiPriority w:val="9"/>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3">
    <w:name w:val="heading 4"/>
    <w:basedOn w:val="1"/>
    <w:next w:val="1"/>
    <w:semiHidden/>
    <w:unhideWhenUsed/>
    <w:qFormat/>
    <w:uiPriority w:val="9"/>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9">
    <w:name w:val="Default Paragraph Font"/>
    <w:autoRedefine/>
    <w:semiHidden/>
    <w:unhideWhenUsed/>
    <w:qFormat/>
    <w:uiPriority w:val="1"/>
  </w:style>
  <w:style w:type="table" w:default="1" w:styleId="7">
    <w:name w:val="Normal Table"/>
    <w:autoRedefine/>
    <w:semiHidden/>
    <w:unhideWhenUsed/>
    <w:qFormat/>
    <w:uiPriority w:val="99"/>
    <w:tblPr>
      <w:tblCellMar>
        <w:top w:w="0" w:type="dxa"/>
        <w:left w:w="108" w:type="dxa"/>
        <w:bottom w:w="0" w:type="dxa"/>
        <w:right w:w="108" w:type="dxa"/>
      </w:tblCellMar>
    </w:tblPr>
  </w:style>
  <w:style w:type="paragraph" w:styleId="4">
    <w:name w:val="footer"/>
    <w:basedOn w:val="1"/>
    <w:link w:val="11"/>
    <w:autoRedefine/>
    <w:unhideWhenUsed/>
    <w:qFormat/>
    <w:uiPriority w:val="99"/>
    <w:pPr>
      <w:tabs>
        <w:tab w:val="center" w:pos="4153"/>
        <w:tab w:val="right" w:pos="8306"/>
      </w:tabs>
      <w:snapToGrid w:val="0"/>
      <w:jc w:val="left"/>
    </w:pPr>
    <w:rPr>
      <w:sz w:val="18"/>
      <w:szCs w:val="18"/>
    </w:rPr>
  </w:style>
  <w:style w:type="paragraph" w:styleId="5">
    <w:name w:val="header"/>
    <w:basedOn w:val="1"/>
    <w:link w:val="10"/>
    <w:autoRedefine/>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Normal (Web)"/>
    <w:basedOn w:val="1"/>
    <w:unhideWhenUsed/>
    <w:uiPriority w:val="99"/>
    <w:pPr>
      <w:widowControl/>
      <w:spacing w:before="100" w:beforeAutospacing="1" w:after="100" w:afterAutospacing="1"/>
      <w:jc w:val="left"/>
    </w:pPr>
    <w:rPr>
      <w:rFonts w:ascii="宋体" w:hAnsi="宋体" w:cs="宋体"/>
      <w:kern w:val="0"/>
      <w:szCs w:val="24"/>
    </w:rPr>
  </w:style>
  <w:style w:type="table" w:styleId="8">
    <w:name w:val="Table Grid"/>
    <w:basedOn w:val="7"/>
    <w:autoRedefine/>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0">
    <w:name w:val="页眉 字符"/>
    <w:basedOn w:val="9"/>
    <w:link w:val="5"/>
    <w:autoRedefine/>
    <w:qFormat/>
    <w:uiPriority w:val="99"/>
    <w:rPr>
      <w:sz w:val="18"/>
      <w:szCs w:val="18"/>
    </w:rPr>
  </w:style>
  <w:style w:type="character" w:customStyle="1" w:styleId="11">
    <w:name w:val="页脚 字符"/>
    <w:basedOn w:val="9"/>
    <w:link w:val="4"/>
    <w:uiPriority w:val="99"/>
    <w:rPr>
      <w:sz w:val="18"/>
      <w:szCs w:val="18"/>
    </w:rPr>
  </w:style>
  <w:style w:type="paragraph" w:customStyle="1" w:styleId="12">
    <w:name w:val="插图标题"/>
    <w:next w:val="1"/>
    <w:link w:val="13"/>
    <w:uiPriority w:val="0"/>
    <w:pPr>
      <w:jc w:val="center"/>
    </w:pPr>
    <w:rPr>
      <w:rFonts w:ascii="Times New Roman" w:hAnsi="Times New Roman" w:eastAsia="宋体" w:cs="Times New Roman"/>
      <w:kern w:val="2"/>
      <w:sz w:val="16"/>
      <w:szCs w:val="21"/>
      <w:lang w:val="en-US" w:eastAsia="zh-CN" w:bidi="ar-SA"/>
    </w:rPr>
  </w:style>
  <w:style w:type="character" w:customStyle="1" w:styleId="13">
    <w:name w:val="插图标题 Char"/>
    <w:basedOn w:val="9"/>
    <w:link w:val="12"/>
    <w:uiPriority w:val="0"/>
    <w:rPr>
      <w:rFonts w:ascii="Times New Roman" w:hAnsi="Times New Roman" w:eastAsia="宋体" w:cs="Times New Roman"/>
      <w:sz w:val="16"/>
      <w:szCs w:val="21"/>
    </w:rPr>
  </w:style>
  <w:style w:type="paragraph" w:customStyle="1" w:styleId="14">
    <w:name w:val="TEXT"/>
    <w:basedOn w:val="1"/>
    <w:link w:val="17"/>
    <w:autoRedefine/>
    <w:qFormat/>
    <w:uiPriority w:val="0"/>
    <w:pPr>
      <w:spacing w:line="330" w:lineRule="atLeast"/>
    </w:pPr>
    <w:rPr>
      <w:rFonts w:ascii="Times New Roman" w:hAnsi="Times New Roman" w:cs="Times New Roman"/>
      <w:sz w:val="21"/>
      <w:szCs w:val="24"/>
    </w:rPr>
  </w:style>
  <w:style w:type="paragraph" w:customStyle="1" w:styleId="15">
    <w:name w:val="TEXT + 首行缩进:  2 字符"/>
    <w:basedOn w:val="1"/>
    <w:link w:val="18"/>
    <w:autoRedefine/>
    <w:qFormat/>
    <w:uiPriority w:val="0"/>
    <w:pPr>
      <w:spacing w:line="330" w:lineRule="atLeast"/>
      <w:ind w:firstLine="420" w:firstLineChars="200"/>
    </w:pPr>
    <w:rPr>
      <w:rFonts w:ascii="Times New Roman" w:hAnsi="Times New Roman" w:cs="宋体"/>
      <w:sz w:val="21"/>
      <w:szCs w:val="20"/>
    </w:rPr>
  </w:style>
  <w:style w:type="character" w:customStyle="1" w:styleId="16">
    <w:name w:val="语法加重"/>
    <w:basedOn w:val="9"/>
    <w:uiPriority w:val="0"/>
    <w:rPr>
      <w:b/>
    </w:rPr>
  </w:style>
  <w:style w:type="character" w:customStyle="1" w:styleId="17">
    <w:name w:val="TEXT Char"/>
    <w:basedOn w:val="9"/>
    <w:link w:val="14"/>
    <w:autoRedefine/>
    <w:qFormat/>
    <w:uiPriority w:val="0"/>
    <w:rPr>
      <w:rFonts w:ascii="Times New Roman" w:hAnsi="Times New Roman" w:eastAsia="宋体" w:cs="Times New Roman"/>
      <w:szCs w:val="24"/>
    </w:rPr>
  </w:style>
  <w:style w:type="character" w:customStyle="1" w:styleId="18">
    <w:name w:val="TEXT + 首行缩进:  2 字符 Char"/>
    <w:basedOn w:val="9"/>
    <w:link w:val="15"/>
    <w:uiPriority w:val="0"/>
    <w:rPr>
      <w:rFonts w:ascii="Times New Roman" w:hAnsi="Times New Roman" w:eastAsia="宋体" w:cs="宋体"/>
      <w:szCs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150139-1FD8-4C18-9E0D-B607E48CE247}">
  <ds:schemaRefs/>
</ds:datastoreItem>
</file>

<file path=docProps/app.xml><?xml version="1.0" encoding="utf-8"?>
<Properties xmlns="http://schemas.openxmlformats.org/officeDocument/2006/extended-properties" xmlns:vt="http://schemas.openxmlformats.org/officeDocument/2006/docPropsVTypes">
  <Template>Normal.dotm</Template>
  <Company>npu</Company>
  <Pages>2</Pages>
  <Words>76</Words>
  <Characters>435</Characters>
  <Lines>3</Lines>
  <Paragraphs>1</Paragraphs>
  <TotalTime>54</TotalTime>
  <ScaleCrop>false</ScaleCrop>
  <LinksUpToDate>false</LinksUpToDate>
  <CharactersWithSpaces>510</CharactersWithSpaces>
  <Application>WPS Office_12.1.0.16399_F1E327BC-269C-435d-A152-05C5408002CA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2019-12-26T00:43:00Z</dcterms:created>
  <dc:creator>jerryxf</dc:creator>
  <cp:lastModifiedBy>张斌</cp:lastModifiedBy>
  <dcterms:modified xsi:type="dcterms:W3CDTF">2024-12-07T11:38:17Z</dcterms:modified>
  <cp:revision>165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2052-12.1.0.16399</vt:lpwstr>
  </property>
  <property fmtid="{D5CDD505-2E9C-101B-9397-08002B2CF9AE}" pid="3" name="ICV">
    <vt:lpwstr>BE95B4E48B8546B6B945E96DDA613CAF_12</vt:lpwstr>
  </property>
</Properties>
</file>