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15" w:lineRule="atLeast"/>
        <w:ind w:left="0" w:firstLine="420"/>
        <w:jc w:val="center"/>
        <w:rPr>
          <w:rFonts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5"/>
          <w:szCs w:val="25"/>
        </w:rPr>
        <w:t>危险化学品重大危险源辨识</w:t>
      </w:r>
      <w:r>
        <w:rPr>
          <w:rFonts w:hint="eastAsia" w:ascii="微软雅黑" w:hAnsi="微软雅黑" w:eastAsia="微软雅黑" w:cs="微软雅黑"/>
          <w:i w:val="0"/>
          <w:caps w:val="0"/>
          <w:color w:val="000000"/>
          <w:spacing w:val="0"/>
          <w:sz w:val="21"/>
          <w:szCs w:val="21"/>
        </w:rPr>
        <w:br w:type="textWrapping"/>
      </w:r>
      <w:bookmarkStart w:id="0" w:name="_GoBack"/>
      <w:bookmarkEnd w:id="0"/>
      <w:r>
        <w:rPr>
          <w:rFonts w:hint="eastAsia" w:ascii="微软雅黑" w:hAnsi="微软雅黑" w:eastAsia="微软雅黑" w:cs="微软雅黑"/>
          <w:i w:val="0"/>
          <w:caps w:val="0"/>
          <w:color w:val="000000"/>
          <w:spacing w:val="0"/>
          <w:sz w:val="21"/>
          <w:szCs w:val="21"/>
        </w:rPr>
        <w:t>GB18218-2009</w:t>
      </w:r>
    </w:p>
    <w:p>
      <w:pPr>
        <w:pStyle w:val="2"/>
        <w:keepNext w:val="0"/>
        <w:keepLines w:val="0"/>
        <w:widowControl/>
        <w:suppressLineNumbers w:val="0"/>
        <w:spacing w:line="315" w:lineRule="atLeast"/>
        <w:ind w:left="0" w:firstLine="42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２００９０３３１发布２００９１２０１实施</w:t>
      </w:r>
    </w:p>
    <w:p>
      <w:pPr>
        <w:pStyle w:val="2"/>
        <w:keepNext w:val="0"/>
        <w:keepLines w:val="0"/>
        <w:widowControl/>
        <w:suppressLineNumbers w:val="0"/>
        <w:spacing w:line="315" w:lineRule="atLeast"/>
        <w:ind w:left="0" w:firstLine="42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前　　言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本标准的全部技术内容为强制性的。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本标准代替ＧＢ１８２１８—２０００《重大危险源辨识》。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本标准与ＧＢ１８２１８—２０００相比主要变化如下：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———将标准名称改为《危险化学品重大危险源辨识》；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———将采矿业中涉及危险化学品的加工工艺和储存活动纳入了适用范围；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———不适用范围增加了海上石油天然气开采活动；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———对部分术语和定义进行了修订；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———对危险化学品的范围进行了修订；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———对危险化学品的临界量进行了修订；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———取消了生产场所与储存区之间临界量的区别。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本标准由国家安全生产监督管理总局提出。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本标准由全国安全生产标准化技术委员会化学品安全标准化分技术委员会（ＴＣ２８８／ＳＣ３）归口。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本标准负责起草单位：中国安全生产科学研究院。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本单位参加起草单位：中石化青岛安全工程研究院。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本标准主要起草人：吴宗之、魏利军、刘骥、多英全、师立晨、高进东、孙猛、于立见、张海峰、杨春笋、彭湘潍。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本标准于２０００年首次发布，本次修订为第一次修订。 </w:t>
      </w:r>
      <w:r>
        <w:rPr>
          <w:rFonts w:hint="eastAsia" w:ascii="微软雅黑" w:hAnsi="微软雅黑" w:eastAsia="微软雅黑" w:cs="微软雅黑"/>
          <w:i w:val="0"/>
          <w:caps w:val="0"/>
          <w:color w:val="000000"/>
          <w:spacing w:val="0"/>
          <w:sz w:val="21"/>
          <w:szCs w:val="21"/>
        </w:rPr>
        <w:br w:type="textWrapping"/>
      </w:r>
      <w:r>
        <w:rPr>
          <w:rFonts w:hint="eastAsia" w:ascii="微软雅黑" w:hAnsi="微软雅黑" w:eastAsia="微软雅黑" w:cs="微软雅黑"/>
          <w:i w:val="0"/>
          <w:caps w:val="0"/>
          <w:color w:val="000000"/>
          <w:spacing w:val="0"/>
          <w:sz w:val="21"/>
          <w:szCs w:val="21"/>
        </w:rPr>
        <w:t>危险化学品重大危险源辨识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１　范围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本标准规定了辨识危险化学品重大危险源的依据和方法。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本标准适用于危险化学品的生产、使用、储存和经营等各企业或组织。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本标准不适用于：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ａ）　核设施和加工放射性物质的工厂，但这些设施和工厂中处理非放射性物质的部门除外；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ｂ）　军事设施；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ｃ）　采矿业，但涉及危险化学品的加工工艺及储存活动除外；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ｄ）　危险化学品的运输；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ｅ）　海上石油天然气开采活动。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２　规范性引用文件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ＧＢ１２２６８　危险货物品名表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ＧＢ２０５９２　化学品分类、警示标签和警示性说明安全规范　急性毒性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３　术语和定</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下列术语和定义适用于本标准。</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３．１</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危险化学品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具有易燃、易爆、有毒、有害等特性，会对人员、设施、环境造成伤害或损害的化学品。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３．２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单元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一个（套）生产装置、设施或场所，或同属一个生产经营单位的且边缘距离小于５００ｍ的几个（套）生产装置、设施或场所。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３．３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临界量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对于某种或某类危险化学品规定的数量，若单元中的危险化学品数量等于或超过该数量，则该单元定为重大危险源。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３．４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危险化学品重大危险源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长期地或临时地生产、加工、使用或储存危险化学品，且危险化学品的数量等于或超过临界量的单元。 </w:t>
      </w:r>
    </w:p>
    <w:p>
      <w:pPr>
        <w:keepNext w:val="0"/>
        <w:keepLines w:val="0"/>
        <w:widowControl/>
        <w:suppressLineNumbers w:val="0"/>
        <w:jc w:val="left"/>
      </w:pPr>
      <w:r>
        <w:rPr>
          <w:rFonts w:hint="eastAsia" w:ascii="微软雅黑" w:hAnsi="微软雅黑" w:eastAsia="微软雅黑" w:cs="微软雅黑"/>
          <w:i w:val="0"/>
          <w:caps w:val="0"/>
          <w:color w:val="000000"/>
          <w:spacing w:val="0"/>
          <w:kern w:val="0"/>
          <w:sz w:val="21"/>
          <w:szCs w:val="21"/>
          <w:lang w:val="en-US" w:eastAsia="zh-CN" w:bidi="ar"/>
        </w:rPr>
        <w:t>４　危险化学品重大危险源辨识 </w:t>
      </w: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４．１　辨识依据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４．１．１　危险化学品重大危险源的辨识依据是危险化学品的危险特性及其数量，具体见表１和表２。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４．１．２　危险化学品临界量的确定方法如下：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ａ）　在表１范围内的危险化学品，其临界量按表１确定；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ｂ）　未在表１范围内的危险化学品，依据其危险性，按表２确定临界量；若一种危险化学品具有多种危险性，按其中最低的临界量确定。</w:t>
      </w:r>
    </w:p>
    <w:p>
      <w:pPr>
        <w:pStyle w:val="2"/>
        <w:keepNext w:val="0"/>
        <w:keepLines w:val="0"/>
        <w:widowControl/>
        <w:suppressLineNumbers w:val="0"/>
        <w:spacing w:line="315" w:lineRule="atLeast"/>
        <w:ind w:left="0" w:firstLine="420"/>
        <w:jc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1"/>
          <w:szCs w:val="21"/>
        </w:rPr>
        <w:t>表１　危险化学品名称及其临界量</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469"/>
        <w:gridCol w:w="3205"/>
        <w:gridCol w:w="7692"/>
        <w:gridCol w:w="28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序号</w:t>
            </w:r>
          </w:p>
        </w:tc>
        <w:tc>
          <w:tcPr>
            <w:tcW w:w="320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类别</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危险化学品名称和说明</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临界量（T）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爆炸品</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叠氮化钡</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０．５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叠氮化铅</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０．５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雷酸汞</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０．５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三硝基苯甲醚</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三硝基甲苯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硝化甘油</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硝化纤维素</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硝酸铵（含可燃物＞０．２％）</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9</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易燃气体</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丁二烯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二甲醚</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甲烷，天然气</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氯乙烯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液化石油气（含丙烷、丁烷及其混合物）</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15</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一甲胺</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乙炔</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18</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毒性气体</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氨</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19</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二氟化氧</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二氧化氮</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二氧化硫</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氟</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光气</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０．３</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环氧乙烷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25</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甲醛（含量＞９０％）</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磷化氢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硫化氢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29</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煤气（ＣＯ，ＣＯ和Ｈ２、ＣＨ４的混合物等）</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砷化三氢（胂）</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１２</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锑化氢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硒化氢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溴甲烷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35</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苯乙烯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丙酮</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丙烯腈</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39</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二硫化碳</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环己烷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环氧丙烷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甲苯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甲醇</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汽油</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45</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乙醇</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乙醚</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乙酸乙酯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正己烷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49</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易于自燃的物质</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黄磷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烷基铝</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戊硼烷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52</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遇水放出易燃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气体的物质</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电石</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钾</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钠</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55</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氧化性物质</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发烟硫酸</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过氧化钾</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过氧化钠</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氯酸钾</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59</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氯酸钠</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硝酸（发红烟的）</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硝酸（发红烟的除外，含硝酸＞７０％）</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硝酸铵（含可燃物≤０．２％）</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３００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硝酸铵基化肥</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64</w:t>
            </w:r>
          </w:p>
        </w:tc>
        <w:tc>
          <w:tcPr>
            <w:tcW w:w="320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有机过氧化物</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过氧乙酸（含量≥６０％）</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65</w:t>
            </w:r>
          </w:p>
        </w:tc>
        <w:tc>
          <w:tcPr>
            <w:tcW w:w="320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过氧化甲乙酮（含量≥６０％）</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66</w:t>
            </w:r>
          </w:p>
        </w:tc>
        <w:tc>
          <w:tcPr>
            <w:tcW w:w="3205"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毒性物质</w:t>
            </w: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丙酮合氰化氢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丙烯醛</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68</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氟化氢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69</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环氧氯丙烷（３氯１，２环氧丙烷）</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70</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环氧溴丙烷（表溴醇）</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71</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甲苯二异氰酸酯</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72</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氯化硫</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73</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氰化氢</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74</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三氧化硫</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７５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75</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烯丙胺</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76</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溴</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469"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77</w:t>
            </w:r>
          </w:p>
        </w:tc>
        <w:tc>
          <w:tcPr>
            <w:tcW w:w="3205" w:type="dxa"/>
            <w:vMerge w:val="continue"/>
            <w:shd w:val="clear"/>
            <w:vAlign w:val="center"/>
          </w:tcPr>
          <w:p>
            <w:pPr>
              <w:jc w:val="center"/>
              <w:rPr>
                <w:rFonts w:hint="eastAsia" w:ascii="宋体"/>
                <w:sz w:val="24"/>
                <w:szCs w:val="24"/>
              </w:rPr>
            </w:pPr>
          </w:p>
        </w:tc>
        <w:tc>
          <w:tcPr>
            <w:tcW w:w="7692"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乙撑亚胺</w:t>
            </w:r>
          </w:p>
        </w:tc>
        <w:tc>
          <w:tcPr>
            <w:tcW w:w="2804"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w:t>
            </w:r>
          </w:p>
        </w:tc>
      </w:tr>
    </w:tbl>
    <w:p>
      <w:pPr>
        <w:pStyle w:val="2"/>
        <w:keepNext w:val="0"/>
        <w:keepLines w:val="0"/>
        <w:widowControl/>
        <w:suppressLineNumbers w:val="0"/>
        <w:spacing w:line="315" w:lineRule="atLeast"/>
        <w:ind w:left="0" w:firstLine="420"/>
        <w:jc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1"/>
          <w:szCs w:val="21"/>
        </w:rPr>
        <w:t>表２　未在表１中列举的危险化学品类别及其临界量</w:t>
      </w:r>
    </w:p>
    <w:tbl>
      <w:tblPr>
        <w:tblW w:w="15170" w:type="dxa"/>
        <w:jc w:val="center"/>
        <w:tblCellSpacing w:w="0" w:type="dxa"/>
        <w:tblInd w:w="1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5048"/>
        <w:gridCol w:w="6997"/>
        <w:gridCol w:w="31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0" w:type="dxa"/>
          <w:jc w:val="center"/>
        </w:trPr>
        <w:tc>
          <w:tcPr>
            <w:tcW w:w="5048"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类别</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危险性分类及说明</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临界量(T)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jc w:val="center"/>
        </w:trPr>
        <w:tc>
          <w:tcPr>
            <w:tcW w:w="5048"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爆炸品</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１．１Ａ项爆炸品</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除１．１Ａ项外的其他１．１项爆炸品</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除１．１项外的其他爆炸品</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气体</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易燃气体：危险性属于２．１项的气体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氧化性气体：危险性属于２．２项非易燃无毒气体且次要危险性为５类的气体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剧毒气体：危险性属于２．３项且急性毒性为类别１的毒性气体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有毒气体：危险性属于２．３项的其他毒性气体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极易燃液体：沸点≤３５℃且闪点＜０℃的液体；或保存温度一直在其沸点以上的易燃液体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高度易燃液体：闪点＜２３℃的液体（不包括极易燃液体）；液态退敏爆炸品</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１０００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易燃液体：２３℃≤闪点＜６１℃的液体</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易燃固体</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危险性属于４．１项且包装为Ⅰ类的物质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易于自燃的物质</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危险性属于４．２项且包装为Ⅰ或Ⅱ类的物质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遇水放出易燃气体的物质</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危险性属于４．３项且包装为Ⅰ或Ⅱ的物质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氧化性物质</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危险性属于５．１项且包装为Ⅰ类的物质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危险性属于５．１项且包装为Ⅱ或Ⅲ类的物质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２００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有机过氧化物</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危险性属于５．２项的物质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restart"/>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毒性物质</w:t>
            </w: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危险性属于６．１项且急性毒性为类别１的物质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5048" w:type="dxa"/>
            <w:vMerge w:val="continue"/>
            <w:shd w:val="clear"/>
            <w:vAlign w:val="center"/>
          </w:tcPr>
          <w:p>
            <w:pPr>
              <w:jc w:val="center"/>
              <w:rPr>
                <w:rFonts w:hint="eastAsia" w:ascii="宋体"/>
                <w:sz w:val="24"/>
                <w:szCs w:val="24"/>
              </w:rPr>
            </w:pPr>
          </w:p>
        </w:tc>
        <w:tc>
          <w:tcPr>
            <w:tcW w:w="6997"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危险性属于６．１项且急性毒性为类别２的物质</w:t>
            </w:r>
          </w:p>
        </w:tc>
        <w:tc>
          <w:tcPr>
            <w:tcW w:w="3125" w:type="dxa"/>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５００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170" w:type="dxa"/>
            <w:gridSpan w:val="3"/>
            <w:shd w:val="clear"/>
            <w:vAlign w:val="center"/>
          </w:tcPr>
          <w:p>
            <w:pPr>
              <w:keepNext w:val="0"/>
              <w:keepLines w:val="0"/>
              <w:widowControl/>
              <w:suppressLineNumbers w:val="0"/>
              <w:spacing w:line="375" w:lineRule="atLeast"/>
              <w:jc w:val="center"/>
            </w:pPr>
            <w:r>
              <w:rPr>
                <w:rFonts w:ascii="宋体" w:hAnsi="宋体" w:eastAsia="宋体" w:cs="宋体"/>
                <w:kern w:val="0"/>
                <w:sz w:val="24"/>
                <w:szCs w:val="24"/>
                <w:lang w:val="en-US" w:eastAsia="zh-CN" w:bidi="ar"/>
              </w:rPr>
              <w:t>　注：以上危险化学品危险性类别及包装类别依据ＧＢ１２２６８确定，急性毒性类别依据ＧＢ２０５９２确定。</w:t>
            </w:r>
          </w:p>
        </w:tc>
      </w:tr>
    </w:tbl>
    <w:p>
      <w:pPr>
        <w:keepNext w:val="0"/>
        <w:keepLines w:val="0"/>
        <w:widowControl/>
        <w:suppressLineNumbers w:val="0"/>
        <w:jc w:val="left"/>
      </w:pPr>
    </w:p>
    <w:p>
      <w:pPr>
        <w:keepNext w:val="0"/>
        <w:keepLines w:val="0"/>
        <w:widowControl/>
        <w:suppressLineNumbers w:val="0"/>
        <w:spacing w:line="315" w:lineRule="atLeast"/>
        <w:ind w:left="42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４．２　重大危险源的辨识指标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单元内存在危险化学品的数量等于或超过表１、表２规定的临界量，即被定为重大危险源。单元内存在的危险化学品的数量根据处理危险化学品种类的多少区分为以下两种情况：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４．２．１　单元内存在的危险化学品为单一品种，则该危险化学品的数量即为单元内危险化学品的总量，若等于或超过相应的临界量，则定为重大危险源。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４．２．２　单元内存在的危险化学品为多品种时，则按式（１）计算，若满足式（１），则定为重大危险源：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q1/Q1+q2/Q2+…+qn/Qn≧1………………………（１）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　　式中：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q1，q2，…，qn———每种危险化学品实际存在量，单位为吨（ｔ）； </w:t>
      </w:r>
      <w:r>
        <w:rPr>
          <w:rFonts w:hint="eastAsia" w:ascii="微软雅黑" w:hAnsi="微软雅黑" w:eastAsia="微软雅黑" w:cs="微软雅黑"/>
          <w:i w:val="0"/>
          <w:caps w:val="0"/>
          <w:color w:val="000000"/>
          <w:spacing w:val="0"/>
          <w:kern w:val="0"/>
          <w:sz w:val="21"/>
          <w:szCs w:val="21"/>
          <w:lang w:val="en-US" w:eastAsia="zh-CN" w:bidi="ar"/>
        </w:rPr>
        <w:br w:type="textWrapping"/>
      </w:r>
      <w:r>
        <w:rPr>
          <w:rFonts w:hint="eastAsia" w:ascii="微软雅黑" w:hAnsi="微软雅黑" w:eastAsia="微软雅黑" w:cs="微软雅黑"/>
          <w:i w:val="0"/>
          <w:caps w:val="0"/>
          <w:color w:val="000000"/>
          <w:spacing w:val="0"/>
          <w:kern w:val="0"/>
          <w:sz w:val="21"/>
          <w:szCs w:val="21"/>
          <w:lang w:val="en-US" w:eastAsia="zh-CN" w:bidi="ar"/>
        </w:rPr>
        <w:t>Q1，Q２，…，Qn———与各危险化学品相对应的临界量，单位为吨（ｔ）。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BB0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yuxl</cp:lastModifiedBy>
  <dcterms:modified xsi:type="dcterms:W3CDTF">2019-07-15T00:23:32Z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