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apertitle"/>
        <w:spacing w:before="100" w:after="100"/>
        <w:rPr/>
      </w:pPr>
      <w:r>
        <w:rPr/>
        <w:t>Evaluating the Impact of Post-Training Quantization on Inference Throughput and Accuracy in Gemma 4B</w:t>
      </w:r>
    </w:p>
    <w:p>
      <w:pPr>
        <w:pStyle w:val="Author"/>
        <w:spacing w:lineRule="auto" w:line="120" w:before="100" w:after="100"/>
        <w:rPr>
          <w:sz w:val="16"/>
          <w:szCs w:val="16"/>
        </w:rPr>
      </w:pPr>
      <w:r>
        <w:rPr>
          <w:sz w:val="16"/>
          <w:szCs w:val="16"/>
        </w:rPr>
      </w:r>
    </w:p>
    <w:p>
      <w:pPr>
        <w:sectPr>
          <w:footerReference w:type="default" r:id="rId2"/>
          <w:footerReference w:type="first" r:id="rId3"/>
          <w:type w:val="nextPage"/>
          <w:pgSz w:w="11906" w:h="16838"/>
          <w:pgMar w:left="893" w:right="893" w:gutter="0" w:header="0" w:top="540" w:footer="720" w:bottom="1440"/>
          <w:pgNumType w:fmt="decimal"/>
          <w:formProt w:val="false"/>
          <w:titlePg/>
          <w:textDirection w:val="lrTb"/>
          <w:docGrid w:type="default" w:linePitch="360" w:charSpace="0"/>
        </w:sectPr>
      </w:pPr>
    </w:p>
    <w:p>
      <w:pPr>
        <w:pStyle w:val="Author"/>
        <w:spacing w:before="100" w:after="40"/>
        <w:rPr/>
      </w:pPr>
      <w:r>
        <w:rPr>
          <w:sz w:val="18"/>
          <w:szCs w:val="18"/>
        </w:rPr>
        <w:t>line 1: 1</w:t>
      </w:r>
      <w:r>
        <w:rPr>
          <w:sz w:val="18"/>
          <w:szCs w:val="18"/>
          <w:vertAlign w:val="superscript"/>
        </w:rPr>
        <w:t>st</w:t>
      </w:r>
      <w:r>
        <w:rPr>
          <w:sz w:val="18"/>
          <w:szCs w:val="18"/>
        </w:rPr>
        <w:t xml:space="preserve"> Aaron Levy Mandari</w:t>
        <w:br/>
        <w:t>line 2: COMPUTER SCIENCE</w:t>
      </w:r>
      <w:r>
        <w:rPr>
          <w:i/>
          <w:sz w:val="18"/>
          <w:szCs w:val="18"/>
        </w:rPr>
        <w:br/>
        <w:t xml:space="preserve">(of </w:t>
      </w:r>
      <w:r>
        <w:rPr>
          <w:i/>
          <w:iCs/>
          <w:sz w:val="18"/>
          <w:szCs w:val="18"/>
        </w:rPr>
        <w:t>Affiliation</w:t>
      </w:r>
      <w:r>
        <w:rPr>
          <w:i/>
          <w:sz w:val="18"/>
          <w:szCs w:val="18"/>
        </w:rPr>
        <w:t>)</w:t>
      </w:r>
      <w:r>
        <w:rPr>
          <w:sz w:val="18"/>
          <w:szCs w:val="18"/>
        </w:rPr>
        <w:br/>
        <w:t>line 3: BINUS</w:t>
      </w:r>
      <w:r>
        <w:rPr>
          <w:i/>
          <w:sz w:val="18"/>
          <w:szCs w:val="18"/>
        </w:rPr>
        <w:br/>
        <w:t>(of Affiliation)</w:t>
        <w:br/>
      </w:r>
      <w:r>
        <w:rPr>
          <w:sz w:val="18"/>
          <w:szCs w:val="18"/>
        </w:rPr>
        <w:t>line 4: TANGERANG, INDONESIA</w:t>
        <w:br/>
        <w:t>line 5: aaron.mandari@binus.ac.id</w:t>
      </w:r>
    </w:p>
    <w:p>
      <w:pPr>
        <w:pStyle w:val="Author"/>
        <w:spacing w:before="100" w:after="40"/>
        <w:rPr>
          <w:sz w:val="18"/>
          <w:szCs w:val="18"/>
        </w:rPr>
      </w:pPr>
      <w:r>
        <w:rPr>
          <w:sz w:val="18"/>
          <w:szCs w:val="18"/>
        </w:rPr>
      </w:r>
    </w:p>
    <w:p>
      <w:pPr>
        <w:pStyle w:val="Author"/>
        <w:spacing w:before="100" w:after="40"/>
        <w:rPr>
          <w:sz w:val="18"/>
          <w:szCs w:val="18"/>
        </w:rPr>
      </w:pPr>
      <w:r>
        <w:br w:type="column"/>
      </w:r>
      <w:r>
        <w:rPr>
          <w:sz w:val="18"/>
          <w:szCs w:val="18"/>
        </w:rPr>
        <w:t>line 1: 2</w:t>
      </w:r>
      <w:r>
        <w:rPr>
          <w:sz w:val="18"/>
          <w:szCs w:val="18"/>
          <w:vertAlign w:val="superscript"/>
        </w:rPr>
        <w:t>nd</w:t>
      </w:r>
      <w:r>
        <w:rPr>
          <w:sz w:val="18"/>
          <w:szCs w:val="18"/>
        </w:rPr>
        <w:t xml:space="preserve"> Given Name Surname</w:t>
        <w:br/>
        <w:t xml:space="preserve">line 2: </w:t>
      </w:r>
      <w:r>
        <w:rPr>
          <w:i/>
          <w:sz w:val="18"/>
          <w:szCs w:val="18"/>
        </w:rPr>
        <w:t xml:space="preserve">dept. name of organization </w:t>
        <w:br/>
        <w:t xml:space="preserve">(of </w:t>
      </w:r>
      <w:r>
        <w:rPr>
          <w:i/>
          <w:iCs/>
          <w:sz w:val="18"/>
          <w:szCs w:val="18"/>
        </w:rPr>
        <w:t>Affiliation</w:t>
      </w:r>
      <w:r>
        <w:rPr>
          <w:i/>
          <w:sz w:val="18"/>
          <w:szCs w:val="18"/>
        </w:rPr>
        <w:t>)</w:t>
      </w:r>
      <w:r>
        <w:rPr>
          <w:sz w:val="18"/>
          <w:szCs w:val="18"/>
        </w:rPr>
        <w:br/>
        <w:t xml:space="preserve">line 3: </w:t>
      </w:r>
      <w:r>
        <w:rPr>
          <w:i/>
          <w:sz w:val="18"/>
          <w:szCs w:val="18"/>
        </w:rPr>
        <w:t xml:space="preserve">name of organization </w:t>
        <w:br/>
        <w:t>(of Affiliation)</w:t>
        <w:br/>
      </w:r>
      <w:r>
        <w:rPr>
          <w:sz w:val="18"/>
          <w:szCs w:val="18"/>
        </w:rPr>
        <w:t>line 4: City, Country</w:t>
        <w:br/>
        <w:t>line 5: email address or ORCID</w:t>
      </w:r>
    </w:p>
    <w:p>
      <w:pPr>
        <w:pStyle w:val="Author"/>
        <w:spacing w:before="100" w:after="40"/>
        <w:rPr>
          <w:sz w:val="18"/>
          <w:szCs w:val="18"/>
        </w:rPr>
      </w:pPr>
      <w:r>
        <w:rPr>
          <w:sz w:val="18"/>
          <w:szCs w:val="18"/>
        </w:rPr>
      </w:r>
    </w:p>
    <w:p>
      <w:pPr>
        <w:pStyle w:val="Author"/>
        <w:spacing w:before="100" w:after="40"/>
        <w:rPr>
          <w:sz w:val="18"/>
          <w:szCs w:val="18"/>
        </w:rPr>
      </w:pPr>
      <w:r>
        <w:br w:type="column"/>
      </w:r>
      <w:r>
        <w:rPr>
          <w:sz w:val="18"/>
          <w:szCs w:val="18"/>
        </w:rPr>
        <w:t>line 1: 3</w:t>
      </w:r>
      <w:r>
        <w:rPr>
          <w:sz w:val="18"/>
          <w:szCs w:val="18"/>
          <w:vertAlign w:val="superscript"/>
        </w:rPr>
        <w:t>rd</w:t>
      </w:r>
      <w:r>
        <w:rPr>
          <w:sz w:val="18"/>
          <w:szCs w:val="18"/>
        </w:rPr>
        <w:t xml:space="preserve"> Given Name Surname</w:t>
        <w:br/>
        <w:t xml:space="preserve">line 2: </w:t>
      </w:r>
      <w:r>
        <w:rPr>
          <w:i/>
          <w:sz w:val="18"/>
          <w:szCs w:val="18"/>
        </w:rPr>
        <w:t xml:space="preserve">dept. name of organization </w:t>
        <w:br/>
        <w:t xml:space="preserve">(of </w:t>
      </w:r>
      <w:r>
        <w:rPr>
          <w:i/>
          <w:iCs/>
          <w:sz w:val="18"/>
          <w:szCs w:val="18"/>
        </w:rPr>
        <w:t>Affiliation</w:t>
      </w:r>
      <w:r>
        <w:rPr>
          <w:i/>
          <w:sz w:val="18"/>
          <w:szCs w:val="18"/>
        </w:rPr>
        <w:t>)</w:t>
      </w:r>
      <w:r>
        <w:rPr>
          <w:sz w:val="18"/>
          <w:szCs w:val="18"/>
        </w:rPr>
        <w:br/>
        <w:t xml:space="preserve">line 3: </w:t>
      </w:r>
      <w:r>
        <w:rPr>
          <w:i/>
          <w:sz w:val="18"/>
          <w:szCs w:val="18"/>
        </w:rPr>
        <w:t xml:space="preserve">name of organization </w:t>
        <w:br/>
        <w:t>(of Affiliation)</w:t>
        <w:br/>
      </w:r>
      <w:r>
        <w:rPr>
          <w:sz w:val="18"/>
          <w:szCs w:val="18"/>
        </w:rPr>
        <w:t>line 4: City, Country</w:t>
        <w:br/>
        <w:t>line 5: email address or ORCID</w:t>
      </w:r>
    </w:p>
    <w:p>
      <w:pPr>
        <w:pStyle w:val="Author"/>
        <w:spacing w:before="100" w:after="40"/>
        <w:rPr/>
      </w:pPr>
      <w:r>
        <w:rPr>
          <w:sz w:val="18"/>
          <w:szCs w:val="18"/>
        </w:rPr>
        <w:t>l</w:t>
      </w:r>
      <w:r>
        <w:rPr/>
        <w:t xml:space="preserve"> </w:t>
      </w:r>
    </w:p>
    <w:p>
      <w:pPr>
        <w:sectPr>
          <w:type w:val="continuous"/>
          <w:pgSz w:w="11906" w:h="16838"/>
          <w:pgMar w:left="893" w:right="893" w:gutter="0" w:header="0" w:top="540" w:footer="720" w:bottom="1440"/>
          <w:cols w:num="3" w:space="720" w:equalWidth="true" w:sep="false"/>
          <w:formProt w:val="false"/>
          <w:titlePg/>
          <w:textDirection w:val="lrTb"/>
          <w:docGrid w:type="default" w:linePitch="360" w:charSpace="0"/>
        </w:sectPr>
      </w:pPr>
    </w:p>
    <w:p>
      <w:pPr>
        <w:pStyle w:val="Normal"/>
        <w:ind w:hanging="0" w:left="0"/>
        <w:rPr/>
      </w:pPr>
      <w:r>
        <w:rPr/>
      </w:r>
    </w:p>
    <w:p>
      <w:pPr>
        <w:sectPr>
          <w:type w:val="continuous"/>
          <w:pgSz w:w="11906" w:h="16838"/>
          <w:pgMar w:left="893" w:right="893" w:gutter="0" w:header="0" w:top="540" w:footer="720" w:bottom="1440"/>
          <w:cols w:num="3" w:space="720" w:equalWidth="true" w:sep="false"/>
          <w:formProt w:val="false"/>
          <w:titlePg/>
          <w:textDirection w:val="lrTb"/>
          <w:docGrid w:type="default" w:linePitch="360" w:charSpace="0"/>
        </w:sectPr>
      </w:pPr>
    </w:p>
    <w:p>
      <w:pPr>
        <w:pStyle w:val="Abstract"/>
        <w:rPr>
          <w:b w:val="false"/>
          <w:bCs w:val="false"/>
        </w:rPr>
      </w:pPr>
      <w:r>
        <w:rPr>
          <w:b w:val="false"/>
          <w:bCs w:val="false"/>
        </w:rPr>
        <w:t>As Large Language Models (</w:t>
      </w:r>
      <w:r>
        <w:rPr>
          <w:b/>
          <w:bCs/>
        </w:rPr>
        <w:t>LLMs</w:t>
      </w:r>
      <w:r>
        <w:rPr>
          <w:b w:val="false"/>
          <w:bCs w:val="false"/>
        </w:rPr>
        <w:t xml:space="preserve">) transition from cloud-based APIs to local edge deployment, the need for efficient model compression becomes paramount. This study investigates the trade-off between computational performance and linguistic accuracy in the Gemma </w:t>
      </w:r>
      <w:r>
        <w:rPr>
          <w:b w:val="false"/>
          <w:bCs w:val="false"/>
        </w:rPr>
        <w:t>e2</w:t>
      </w:r>
      <w:r>
        <w:rPr>
          <w:b w:val="false"/>
          <w:bCs w:val="false"/>
        </w:rPr>
        <w:t>B model using Post-Training Quantization (</w:t>
      </w:r>
      <w:r>
        <w:rPr>
          <w:b/>
          <w:bCs/>
        </w:rPr>
        <w:t>PTQ</w:t>
      </w:r>
      <w:r>
        <w:rPr>
          <w:b w:val="false"/>
          <w:bCs w:val="false"/>
        </w:rPr>
        <w:t>). Utilizing a high-performance Linux environment on a Computer with a Dedicated Graphical Proccesing Unit (</w:t>
      </w:r>
      <w:r>
        <w:rPr>
          <w:b/>
          <w:bCs/>
        </w:rPr>
        <w:t>DGPU</w:t>
      </w:r>
      <w:r>
        <w:rPr>
          <w:b w:val="false"/>
          <w:bCs w:val="false"/>
        </w:rPr>
        <w:t>) we benchmarked uncompressed FP16, 8-bit, and 4-bit GGUF variants. Performance was measured via Tokens Per Second (</w:t>
      </w:r>
      <w:r>
        <w:rPr>
          <w:b/>
          <w:bCs/>
        </w:rPr>
        <w:t>TPS</w:t>
      </w:r>
      <w:r>
        <w:rPr>
          <w:b w:val="false"/>
          <w:bCs w:val="false"/>
        </w:rPr>
        <w:t>) and Time to First Token (</w:t>
      </w:r>
      <w:r>
        <w:rPr>
          <w:b/>
          <w:bCs/>
        </w:rPr>
        <w:t>TTFT</w:t>
      </w:r>
      <w:r>
        <w:rPr>
          <w:b w:val="false"/>
          <w:bCs w:val="false"/>
        </w:rPr>
        <w:t>), while accuracy was evaluated using a Zero-Shot Multiple Choice Accuracy test. Preliminary results indicate that while 4-bit quantization significantly reduces VRAM usage and increases throughput, it introduces a measurable "intelligence gap" in complex logic tasks. This paper provides a reproducible framework for developers to select optimal quantization levels based on specific hardware constraints and accuracy requirements.</w:t>
      </w:r>
    </w:p>
    <w:p>
      <w:pPr>
        <w:pStyle w:val="Keywords"/>
        <w:rPr/>
      </w:pPr>
      <w:r>
        <w:rPr/>
        <w:t>Keywords: Large Language Models, Quantization, Gemma 4B, Inference Throughput, Edge AI.</w:t>
      </w:r>
    </w:p>
    <w:p>
      <w:pPr>
        <w:pStyle w:val="Heading1"/>
        <w:ind w:hanging="0" w:left="0" w:right="0"/>
        <w:rPr/>
      </w:pPr>
      <w:r>
        <w:rPr/>
        <w:t>Introduction (</w:t>
      </w:r>
      <w:r>
        <w:rPr>
          <w:rFonts w:eastAsia="MS Mincho;ＭＳ 明朝"/>
          <w:i/>
        </w:rPr>
        <w:t>Heading 1</w:t>
      </w:r>
      <w:r>
        <w:rPr/>
        <w:t>)</w:t>
      </w:r>
    </w:p>
    <w:p>
      <w:pPr>
        <w:pStyle w:val="Heading4"/>
        <w:ind w:firstLine="504" w:left="0" w:right="0"/>
        <w:rPr>
          <w:b/>
          <w:spacing w:val="-1"/>
          <w:lang w:val="en-US"/>
        </w:rPr>
      </w:pPr>
      <w:r>
        <w:rPr>
          <w:b/>
          <w:spacing w:val="-1"/>
          <w:lang w:val="en-US"/>
        </w:rPr>
        <w:t>Background</w:t>
      </w:r>
    </w:p>
    <w:p>
      <w:pPr>
        <w:pStyle w:val="BodyText"/>
        <w:rPr/>
      </w:pPr>
      <w:r>
        <w:rPr/>
        <w:t xml:space="preserve">The rapid proliferation of Large Language Models (LLMs) has revolutionized Natural Language Processing, but their deployment remains computationally expensive. While state-of-the-art models perform exceptionally on data-center-grade GPUs, local deployment on consumer hardware requires significant optimization. </w:t>
      </w:r>
      <w:r>
        <w:rPr>
          <w:b/>
        </w:rPr>
        <w:t>Quantization (signal)</w:t>
      </w:r>
      <w:r>
        <w:rPr/>
        <w:t>, a process that reduces the bit-width of model weights, has emerged as a primary solution to reduce VRAM requirements and increase generation speed.</w:t>
      </w:r>
    </w:p>
    <w:p>
      <w:pPr>
        <w:pStyle w:val="Heading4"/>
        <w:ind w:firstLine="504" w:left="0" w:right="0"/>
        <w:rPr>
          <w:b/>
          <w:spacing w:val="-1"/>
          <w:lang w:val="en-US"/>
        </w:rPr>
      </w:pPr>
      <w:r>
        <w:rPr>
          <w:b/>
          <w:spacing w:val="-1"/>
          <w:lang w:val="en-US"/>
        </w:rPr>
        <w:t>Problem Statement</w:t>
      </w:r>
    </w:p>
    <w:p>
      <w:pPr>
        <w:pStyle w:val="BodyText"/>
        <w:rPr/>
      </w:pPr>
      <w:r>
        <w:rPr/>
        <w:t xml:space="preserve">There is a fundamental trade-off in LLM optimization: as precision decreases (e.g., from 16-bit to 4-bit), the model's </w:t>
      </w:r>
      <w:r>
        <w:rPr>
          <w:b/>
        </w:rPr>
        <w:t>Throughput</w:t>
      </w:r>
      <w:r>
        <w:rPr/>
        <w:t xml:space="preserve"> increases, but its ability to maintain logical coherence often degrades. Users in resource-constrained environments lack clear empirical benchmarks that define the "sweet spot" where speed is maximized without rendering the model's outputs inaccurate or "hallucinatory."</w:t>
      </w:r>
    </w:p>
    <w:p>
      <w:pPr>
        <w:pStyle w:val="Heading4"/>
        <w:ind w:firstLine="504" w:left="0" w:right="0"/>
        <w:rPr>
          <w:b/>
          <w:spacing w:val="-1"/>
          <w:lang w:val="en-US"/>
        </w:rPr>
      </w:pPr>
      <w:r>
        <w:rPr>
          <w:b/>
          <w:spacing w:val="-1"/>
          <w:lang w:val="en-US"/>
        </w:rPr>
        <w:t>Research Objectives</w:t>
      </w:r>
    </w:p>
    <w:p>
      <w:pPr>
        <w:pStyle w:val="BodyText"/>
        <w:numPr>
          <w:ilvl w:val="0"/>
          <w:numId w:val="10"/>
        </w:numPr>
        <w:ind w:hanging="360" w:left="720" w:right="0"/>
        <w:rPr/>
      </w:pPr>
      <w:r>
        <w:rPr/>
        <w:t xml:space="preserve">To measure the </w:t>
      </w:r>
      <w:r>
        <w:rPr>
          <w:b/>
        </w:rPr>
        <w:t>Tokens Per Second (TPS)</w:t>
      </w:r>
      <w:r>
        <w:rPr/>
        <w:t xml:space="preserve"> and </w:t>
      </w:r>
      <w:r>
        <w:rPr>
          <w:b/>
        </w:rPr>
        <w:t>Time to First Token (TTFT)</w:t>
      </w:r>
      <w:r>
        <w:rPr/>
        <w:t xml:space="preserve"> across various quantization levels (FP16, 8-bit, 4-bit) for the Gemma 4B model.</w:t>
      </w:r>
    </w:p>
    <w:p>
      <w:pPr>
        <w:pStyle w:val="BodyText"/>
        <w:numPr>
          <w:ilvl w:val="0"/>
          <w:numId w:val="10"/>
        </w:numPr>
        <w:ind w:hanging="360" w:left="720" w:right="0"/>
        <w:rPr/>
      </w:pPr>
      <w:r>
        <w:rPr/>
        <w:t xml:space="preserve">To quantify the "Intelligence Loss" by applying a </w:t>
      </w:r>
      <w:r>
        <w:rPr>
          <w:b/>
        </w:rPr>
        <w:t>Zero-Shot Multiple Choice Accuracy</w:t>
      </w:r>
      <w:r>
        <w:rPr/>
        <w:t xml:space="preserve"> test to determine the impact of quantization on model accuracy.</w:t>
      </w:r>
    </w:p>
    <w:p>
      <w:pPr>
        <w:pStyle w:val="BodyText"/>
        <w:numPr>
          <w:ilvl w:val="0"/>
          <w:numId w:val="10"/>
        </w:numPr>
        <w:ind w:hanging="360" w:left="720" w:right="0"/>
        <w:rPr/>
      </w:pPr>
      <w:r>
        <w:rPr/>
        <w:t xml:space="preserve">To evaluate the efficiency of the </w:t>
      </w:r>
      <w:r>
        <w:rPr>
          <w:rStyle w:val="SourceText"/>
        </w:rPr>
        <w:t>linux</w:t>
      </w:r>
      <w:r>
        <w:rPr/>
        <w:t xml:space="preserve"> kernel in maintaining stable inference benchmarks.</w:t>
      </w:r>
    </w:p>
    <w:p>
      <w:pPr>
        <w:pStyle w:val="Heading4"/>
        <w:ind w:firstLine="504" w:left="0" w:right="0"/>
        <w:rPr>
          <w:b/>
          <w:spacing w:val="-1"/>
          <w:lang w:val="en-US"/>
        </w:rPr>
      </w:pPr>
      <w:r>
        <w:rPr>
          <w:b/>
          <w:spacing w:val="-1"/>
          <w:lang w:val="en-US"/>
        </w:rPr>
        <w:t>Research Contributions</w:t>
      </w:r>
    </w:p>
    <w:p>
      <w:pPr>
        <w:pStyle w:val="BodyText"/>
        <w:rPr/>
      </w:pPr>
      <w:r>
        <w:rPr/>
        <w:t>This study provides empirical data for software engineers and AI hobbyists deploying LLMs locally. It identifies the performance-to-accuracy ratio for the Gemma 4B architecture, offering a reproducible workflow using Docker and the GGUF format to optimize local AI deployments.</w:t>
      </w:r>
    </w:p>
    <w:p>
      <w:pPr>
        <w:pStyle w:val="Heading1"/>
        <w:ind w:hanging="0" w:left="0" w:right="0"/>
        <w:rPr/>
      </w:pPr>
      <w:r>
        <w:rPr/>
        <w:t>Ease of Use</w:t>
      </w:r>
    </w:p>
    <w:p>
      <w:pPr>
        <w:pStyle w:val="BodyText"/>
        <w:rPr/>
      </w:pPr>
      <w:r>
        <w:rPr/>
        <w:t xml:space="preserve">Current literature highlights several quantization techniques. </w:t>
      </w:r>
      <w:r>
        <w:rPr>
          <w:b/>
        </w:rPr>
        <w:t>GPTQ</w:t>
      </w:r>
      <w:r>
        <w:rPr/>
        <w:t xml:space="preserve"> (Frantar et al., 2023) demonstrated that 4-bit quantization can be near-lossless for large-scale models, while </w:t>
      </w:r>
      <w:r>
        <w:rPr>
          <w:b/>
        </w:rPr>
        <w:t>LLM.int8()</w:t>
      </w:r>
      <w:r>
        <w:rPr/>
        <w:t xml:space="preserve"> (Dettmers et al., 2022) focused on handling outlier features to maintain accuracy in 8-bit precision. Research specifically targeting edge devices, such as studies on </w:t>
      </w:r>
      <w:r>
        <w:rPr>
          <w:b/>
        </w:rPr>
        <w:t>llama.cpp</w:t>
      </w:r>
      <w:r>
        <w:rPr/>
        <w:t xml:space="preserve"> and the </w:t>
      </w:r>
      <w:r>
        <w:rPr>
          <w:b/>
        </w:rPr>
        <w:t>GGUF</w:t>
      </w:r>
      <w:r>
        <w:rPr/>
        <w:t xml:space="preserve"> format, suggests that block-wise quantization is essential for hardware like NVIDIA’s </w:t>
      </w:r>
      <w:r>
        <w:rPr/>
        <w:t>GPUs</w:t>
      </w:r>
      <w:r>
        <w:rPr/>
        <w:t xml:space="preserve"> to overcome VRAM bottlenecks. This paper builds on these works by testing these theories in a high-performance Linux environment specifically tuned for low-latency workloads.</w:t>
      </w:r>
    </w:p>
    <w:p>
      <w:pPr>
        <w:pStyle w:val="Heading1"/>
        <w:ind w:hanging="0" w:left="0" w:right="0"/>
        <w:rPr/>
      </w:pPr>
      <w:r>
        <w:rPr/>
        <w:t>Prepare Your Paper Before Styling</w:t>
      </w:r>
    </w:p>
    <w:p>
      <w:pPr>
        <w:pStyle w:val="Heading4"/>
        <w:ind w:firstLine="504" w:left="0" w:right="0"/>
        <w:rPr>
          <w:b/>
          <w:spacing w:val="-1"/>
          <w:lang w:val="en-US"/>
        </w:rPr>
      </w:pPr>
      <w:r>
        <w:rPr>
          <w:b/>
          <w:spacing w:val="-1"/>
          <w:lang w:val="en-US"/>
        </w:rPr>
        <w:t>Research Method</w:t>
      </w:r>
    </w:p>
    <w:p>
      <w:pPr>
        <w:pStyle w:val="BodyText"/>
        <w:rPr>
          <w:lang w:val="en-US"/>
        </w:rPr>
      </w:pPr>
      <w:r>
        <w:rPr>
          <w:lang w:val="en-US"/>
        </w:rPr>
        <w:t xml:space="preserve">This study employs a </w:t>
      </w:r>
      <w:r>
        <w:rPr>
          <w:b/>
          <w:lang w:val="en-US"/>
        </w:rPr>
        <w:t>Quantitative Experimental Benchmarking</w:t>
      </w:r>
      <w:r>
        <w:rPr>
          <w:lang w:val="en-US"/>
        </w:rPr>
        <w:t xml:space="preserve"> method. We systematically manipulate the </w:t>
      </w:r>
      <w:r>
        <w:rPr>
          <w:b/>
          <w:lang w:val="en-US"/>
        </w:rPr>
        <w:t>Quantization Precision</w:t>
      </w:r>
      <w:r>
        <w:rPr>
          <w:lang w:val="en-US"/>
        </w:rPr>
        <w:t xml:space="preserve"> (Independent Variable) and measure the resulting </w:t>
      </w:r>
      <w:r>
        <w:rPr>
          <w:b/>
          <w:lang w:val="en-US"/>
        </w:rPr>
        <w:t>Throughput</w:t>
      </w:r>
      <w:r>
        <w:rPr>
          <w:lang w:val="en-US"/>
        </w:rPr>
        <w:t xml:space="preserve"> and </w:t>
      </w:r>
      <w:r>
        <w:rPr>
          <w:b/>
          <w:lang w:val="en-US"/>
        </w:rPr>
        <w:t>Accuracy</w:t>
      </w:r>
      <w:r>
        <w:rPr>
          <w:lang w:val="en-US"/>
        </w:rPr>
        <w:t xml:space="preserve"> (Dependent Variables) under a controlled hardware and software environment.</w:t>
      </w:r>
    </w:p>
    <w:p>
      <w:pPr>
        <w:pStyle w:val="Heading4"/>
        <w:ind w:firstLine="504" w:left="0" w:right="0"/>
        <w:rPr>
          <w:b/>
          <w:spacing w:val="-1"/>
          <w:lang w:val="en-US"/>
        </w:rPr>
      </w:pPr>
      <w:r>
        <w:rPr>
          <w:b/>
          <w:spacing w:val="-1"/>
          <w:lang w:val="en-US"/>
        </w:rPr>
        <w:t>Dataset and Data Collection</w:t>
      </w:r>
    </w:p>
    <w:p>
      <w:pPr>
        <w:pStyle w:val="BodyText"/>
        <w:numPr>
          <w:ilvl w:val="0"/>
          <w:numId w:val="8"/>
        </w:numPr>
        <w:ind w:hanging="360" w:left="1008" w:right="0"/>
        <w:rPr/>
      </w:pPr>
      <w:r>
        <w:rPr>
          <w:b/>
        </w:rPr>
        <w:t>Inference Dataset:</w:t>
      </w:r>
      <w:r>
        <w:rPr/>
        <w:t xml:space="preserve"> 10 diverse question prompts with a fixed seed.</w:t>
      </w:r>
    </w:p>
    <w:p>
      <w:pPr>
        <w:pStyle w:val="BodyText"/>
        <w:numPr>
          <w:ilvl w:val="0"/>
          <w:numId w:val="8"/>
        </w:numPr>
        <w:ind w:hanging="360" w:left="1008" w:right="0"/>
        <w:rPr/>
      </w:pPr>
      <w:r>
        <w:rPr>
          <w:b/>
        </w:rPr>
        <w:t>Validation Dataset:</w:t>
      </w:r>
      <w:r>
        <w:rPr/>
        <w:t xml:space="preserve"> A Zero-Shot Multiple Choice Accuracy test where every output is assigned a binary score (0 or 1).</w:t>
      </w:r>
    </w:p>
    <w:p>
      <w:pPr>
        <w:pStyle w:val="BodyText"/>
        <w:rPr/>
      </w:pPr>
      <w:r>
        <w:rPr/>
        <w:drawing>
          <wp:anchor distT="0" distB="0" distL="0" distR="0" simplePos="0" relativeHeight="2" behindDoc="0" locked="0" layoutInCell="0" allowOverlap="1">
            <wp:simplePos x="0" y="0"/>
            <wp:positionH relativeFrom="column">
              <wp:posOffset>584200</wp:posOffset>
            </wp:positionH>
            <wp:positionV relativeFrom="paragraph">
              <wp:posOffset>635</wp:posOffset>
            </wp:positionV>
            <wp:extent cx="2505710" cy="452120"/>
            <wp:effectExtent l="0" t="0" r="0" b="0"/>
            <wp:wrapSquare wrapText="largest"/>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4"/>
                    <a:stretch>
                      <a:fillRect/>
                    </a:stretch>
                  </pic:blipFill>
                  <pic:spPr bwMode="auto">
                    <a:xfrm>
                      <a:off x="0" y="0"/>
                      <a:ext cx="2505710" cy="452120"/>
                    </a:xfrm>
                    <a:prstGeom prst="rect">
                      <a:avLst/>
                    </a:prstGeom>
                    <a:noFill/>
                  </pic:spPr>
                </pic:pic>
              </a:graphicData>
            </a:graphic>
          </wp:anchor>
        </w:drawing>
      </w:r>
    </w:p>
    <w:p>
      <w:pPr>
        <w:pStyle w:val="BodyText"/>
        <w:rPr/>
      </w:pPr>
      <w:r>
        <w:rPr/>
      </w:r>
    </w:p>
    <w:p>
      <w:pPr>
        <w:pStyle w:val="Heading4"/>
        <w:numPr>
          <w:ilvl w:val="0"/>
          <w:numId w:val="0"/>
        </w:numPr>
        <w:ind w:hanging="0" w:left="0" w:right="0"/>
        <w:rPr>
          <w:rFonts w:ascii="Times New Roman" w:hAnsi="Times New Roman"/>
          <w:b/>
          <w:spacing w:val="-1"/>
          <w:lang w:val="en-US"/>
        </w:rPr>
      </w:pPr>
      <w:r>
        <w:rPr>
          <w:b/>
          <w:spacing w:val="-1"/>
          <w:lang w:val="en-US"/>
        </w:rPr>
      </w:r>
    </w:p>
    <w:p>
      <w:pPr>
        <w:pStyle w:val="Heading4"/>
        <w:ind w:firstLine="504" w:left="0" w:right="0"/>
        <w:rPr>
          <w:rFonts w:ascii="Times New Roman" w:hAnsi="Times New Roman"/>
          <w:b/>
          <w:spacing w:val="-1"/>
          <w:lang w:val="en-US"/>
        </w:rPr>
      </w:pPr>
      <w:r>
        <w:rPr>
          <w:b/>
          <w:spacing w:val="-1"/>
          <w:lang w:val="en-US"/>
        </w:rPr>
        <w:t>Experimental Procedure</w:t>
      </w:r>
    </w:p>
    <w:p>
      <w:pPr>
        <w:pStyle w:val="BodyText"/>
        <w:numPr>
          <w:ilvl w:val="0"/>
          <w:numId w:val="9"/>
        </w:numPr>
        <w:ind w:hanging="360" w:left="720" w:right="0"/>
        <w:jc w:val="both"/>
        <w:rPr/>
      </w:pPr>
      <w:r>
        <w:rPr>
          <w:b/>
        </w:rPr>
        <w:t>Environment Preparation:</w:t>
      </w:r>
      <w:r>
        <w:rPr/>
        <w:t xml:space="preserve">  </w:t>
      </w:r>
      <w:r>
        <w:rPr/>
        <w:t>Load Ollama.</w:t>
      </w:r>
    </w:p>
    <w:p>
      <w:pPr>
        <w:pStyle w:val="BodyText"/>
        <w:numPr>
          <w:ilvl w:val="0"/>
          <w:numId w:val="9"/>
        </w:numPr>
        <w:ind w:hanging="360" w:left="720" w:right="0"/>
        <w:jc w:val="both"/>
        <w:rPr>
          <w:rFonts w:ascii="Times New Roman" w:hAnsi="Times New Roman"/>
        </w:rPr>
      </w:pPr>
      <w:r>
        <w:rPr>
          <w:b/>
        </w:rPr>
        <w:t>Baseline Selection:</w:t>
      </w:r>
      <w:r>
        <w:rPr/>
        <w:t xml:space="preserve"> Load the </w:t>
      </w:r>
      <w:r>
        <w:rPr>
          <w:b/>
        </w:rPr>
        <w:t xml:space="preserve">Gemma </w:t>
      </w:r>
      <w:r>
        <w:rPr>
          <w:b/>
        </w:rPr>
        <w:t>e2</w:t>
      </w:r>
      <w:r>
        <w:rPr>
          <w:b/>
        </w:rPr>
        <w:t>B</w:t>
      </w:r>
      <w:r>
        <w:rPr/>
        <w:t xml:space="preserve"> (FP16 </w:t>
      </w:r>
      <w:r>
        <w:rPr/>
        <w:t>and Q4</w:t>
      </w:r>
      <w:r>
        <w:rPr/>
        <w:t>) model as the control baseline.</w:t>
      </w:r>
    </w:p>
    <w:p>
      <w:pPr>
        <w:pStyle w:val="BodyText"/>
        <w:numPr>
          <w:ilvl w:val="0"/>
          <w:numId w:val="9"/>
        </w:numPr>
        <w:ind w:hanging="360" w:left="720" w:right="0"/>
        <w:jc w:val="both"/>
        <w:rPr>
          <w:rFonts w:ascii="Times New Roman" w:hAnsi="Times New Roman"/>
        </w:rPr>
      </w:pPr>
      <w:r>
        <w:rPr>
          <w:b/>
        </w:rPr>
        <w:t>Benchmarking:</w:t>
      </w:r>
      <w:r>
        <w:rPr/>
        <w:t xml:space="preserve"> Execute 10 iterations per bit-width, recording </w:t>
      </w:r>
      <w:r>
        <w:rPr>
          <w:b/>
        </w:rPr>
        <w:t>TTFT</w:t>
      </w:r>
      <w:r>
        <w:rPr/>
        <w:t xml:space="preserve"> and </w:t>
      </w:r>
      <w:r>
        <w:rPr>
          <w:b/>
        </w:rPr>
        <w:t>TPS</w:t>
      </w:r>
      <w:r>
        <w:rPr/>
        <w:t>.</w:t>
      </w:r>
    </w:p>
    <w:p>
      <w:pPr>
        <w:pStyle w:val="BodyText"/>
        <w:numPr>
          <w:ilvl w:val="0"/>
          <w:numId w:val="9"/>
        </w:numPr>
        <w:ind w:hanging="360" w:left="720" w:right="0"/>
        <w:jc w:val="both"/>
        <w:rPr/>
      </w:pPr>
      <w:r>
        <w:rPr>
          <w:b/>
        </w:rPr>
        <w:t>Telemetry:</w:t>
      </w:r>
      <w:r>
        <w:rPr/>
        <w:t xml:space="preserve"> Use </w:t>
      </w:r>
      <w:r>
        <w:rPr>
          <w:rStyle w:val="SourceText"/>
        </w:rPr>
        <w:t>nvtop</w:t>
      </w:r>
      <w:r>
        <w:rPr/>
        <w:t xml:space="preserve">, </w:t>
      </w:r>
      <w:r>
        <w:rPr>
          <w:rStyle w:val="SourceText"/>
        </w:rPr>
        <w:t>Ollama-tui</w:t>
      </w:r>
      <w:r>
        <w:rPr/>
        <w:t xml:space="preserve">, and </w:t>
      </w:r>
      <w:r>
        <w:rPr>
          <w:rStyle w:val="SourceText"/>
        </w:rPr>
        <w:t>btop</w:t>
      </w:r>
      <w:r>
        <w:rPr/>
        <w:t xml:space="preserve"> to log peak VRAM and RAM consumption.</w:t>
      </w:r>
    </w:p>
    <w:p>
      <w:pPr>
        <w:pStyle w:val="Heading4"/>
        <w:ind w:firstLine="504" w:left="0" w:right="0"/>
        <w:rPr>
          <w:rFonts w:ascii="Times New Roman" w:hAnsi="Times New Roman"/>
          <w:b/>
          <w:spacing w:val="-1"/>
          <w:lang w:val="en-US"/>
        </w:rPr>
      </w:pPr>
      <w:r>
        <w:rPr>
          <w:b/>
          <w:spacing w:val="-1"/>
          <w:lang w:val="en-US"/>
        </w:rPr>
        <w:t>Validity and Reproducibility</w:t>
      </w:r>
    </w:p>
    <w:p>
      <w:pPr>
        <w:pStyle w:val="BodyText"/>
        <w:numPr>
          <w:ilvl w:val="0"/>
          <w:numId w:val="11"/>
        </w:numPr>
        <w:ind w:hanging="360" w:left="720" w:right="0"/>
        <w:jc w:val="both"/>
        <w:rPr>
          <w:rFonts w:ascii="Times New Roman" w:hAnsi="Times New Roman"/>
          <w:b w:val="false"/>
          <w:bCs w:val="false"/>
          <w:spacing w:val="-1"/>
          <w:lang w:val="en-US"/>
        </w:rPr>
      </w:pPr>
      <w:r>
        <w:rPr>
          <w:b w:val="false"/>
          <w:bCs w:val="false"/>
          <w:spacing w:val="-1"/>
          <w:lang w:val="en-US"/>
        </w:rPr>
        <w:t>Validity: Internal validity is maintained by terminating all non-essential background processes and using Fixed Prompt Seeds to ensure consistent output lengths.</w:t>
      </w:r>
    </w:p>
    <w:p>
      <w:pPr>
        <w:pStyle w:val="BodyText"/>
        <w:numPr>
          <w:ilvl w:val="0"/>
          <w:numId w:val="11"/>
        </w:numPr>
        <w:ind w:hanging="360" w:left="720" w:right="0"/>
        <w:jc w:val="both"/>
        <w:rPr/>
      </w:pPr>
      <w:r>
        <w:rPr>
          <w:b w:val="false"/>
          <w:bCs w:val="false"/>
          <w:lang w:val="en-US"/>
        </w:rPr>
        <w:t xml:space="preserve">Reproducibility: Experiments are conducted on </w:t>
      </w:r>
      <w:r>
        <w:rPr>
          <w:b w:val="false"/>
          <w:bCs w:val="false"/>
          <w:lang w:val="en-US"/>
        </w:rPr>
        <w:t>the same computer.</w:t>
      </w:r>
    </w:p>
    <w:p>
      <w:pPr>
        <w:pStyle w:val="Heading1"/>
      </w:pPr>
      <w:r>
        <w:t>Results and Discussion</w:t>
      </w:r>
    </w:p>
    <w:p>
      <w:pPr>
        <w:pStyle w:val="Heading4"/>
      </w:pPr>
      <w:r>
        <w:t>A. Inference Performance and Hardware Constraints</w:t>
      </w:r>
    </w:p>
    <w:p>
      <w:pPr>
        <w:pStyle w:val="BodyText"/>
      </w:pPr>
      <w:r>
        <w:t>The empirical results demonstrate a significant performance trade-off between quantization level, VRAM consumption, and inference throughput (measured in tokens per second). Gemma 4B Q4 (the 4-bit quantized GGUF model) has a memory footprint of 7.7 GB, allowing it to fit entirely within the computer's dedicated graphics card VRAM. This enables 100% GPU utilization and yields an average generation speed of 106.8 tokens/second, with a negligible Time to First Token (TTFT).</w:t>
      </w:r>
    </w:p>
    <w:p>
      <w:pPr>
        <w:pStyle w:val="BodyText"/>
      </w:pPr>
      <w:r>
        <w:t>In contrast, the uncompressed Gemma 4B BF16 model (11.0 GB) exceeds the VRAM capacity of the dedicated GPU. Consequently, the Ollama runner offloads the model execution across both the CPU and GPU (resulting in a 59% CPU / 41% GPU split). This offloading incurs a massive performance penalty, dropping the generation speed to 25.5 tokens/second—representing a 4.2x slowdown compared to the Q4 version.</w:t>
      </w:r>
    </w:p>
    <w:p>
      <w:pPr>
        <w:pStyle w:val="BodyText"/>
      </w:pPr>
      <w:r>
        <w:t>This performance cliff illustrates the hardware execution barrier for deploying high-precision uncompressed models locally on consumer-grade hardware. When the model size exceeds the dedicated GPU memory, CPU offloading introduces massive memory transfer bottlenecks that severely degrade generation speed.</w:t>
      </w:r>
    </w:p>
    <w:p>
      <w:pPr>
        <w:pStyle w:val="BodyText"/>
      </w:pPr>
      <w:r>
        <w:t xml:space="preserve">For detailed model specifications (Table I) and CPU/GPU hardware resource utilization (Table II), refer to the </w:t>
      </w:r>
      <w:hyperlink r:id="rId9">
        <w:r>
          <w:rPr>
            <w:color w:val="0000FF"/>
            <w:u w:val="single"/>
          </w:rPr>
          <w:t>Interactive Deployment and Telemetry Dashboard</w:t>
        </w:r>
      </w:hyperlink>
      <w:r>
        <w:t>.</w:t>
      </w:r>
    </w:p>
    <w:p>
      <w:pPr>
        <w:pStyle w:val="Heading4"/>
      </w:pPr>
      <w:r>
        <w:t>B. Model Accuracy and the 'Intelligence Gap'</w:t>
      </w:r>
    </w:p>
    <w:p>
      <w:pPr>
        <w:pStyle w:val="BodyText"/>
      </w:pPr>
      <w:r>
        <w:t>To evaluate the linguistic and logical impact of Post-Training Quantization (PTQ), both models were benchmarked against a 10-question Zero-Shot Multiple Choice Accuracy test. The test isolated specific reasoning failures under quantization, such as state tracking, mathematical precision, counterfactual reasoning, and spatial orientation.</w:t>
      </w:r>
    </w:p>
    <w:p>
      <w:pPr>
        <w:pStyle w:val="BodyText"/>
      </w:pPr>
      <w:r>
        <w:t>Overall, the uncompressed Gemma 4B BF16 model scored 90% (9/10) on the logic benchmark, while the quantized Gemma 4B Q4 model scored 80% (8/10). However, a simple comparison of final scores masks the deeper qualitative errors introduced by quantization, as discussed below.</w:t>
      </w:r>
    </w:p>
    <w:p>
      <w:pPr>
        <w:pStyle w:val="BodyText"/>
      </w:pPr>
      <w:r>
        <w:t xml:space="preserve">For the complete question-by-question breakdown of the zero-shot accuracy results for both models (Table III &amp; Table IV), refer to the </w:t>
      </w:r>
      <w:hyperlink r:id="rId10">
        <w:r>
          <w:rPr>
            <w:color w:val="0000FF"/>
            <w:u w:val="single"/>
          </w:rPr>
          <w:t>Interactive Benchmark Accuracy Dashboard</w:t>
        </w:r>
      </w:hyperlink>
      <w:r>
        <w:t>.</w:t>
      </w:r>
    </w:p>
    <w:p>
      <w:pPr>
        <w:pStyle w:val="Heading4"/>
      </w:pPr>
      <w:r>
        <w:t>C. Qualitative Error Analysis and Reasoning Failures</w:t>
      </w:r>
    </w:p>
    <w:p>
      <w:pPr>
        <w:pStyle w:val="BodyText"/>
      </w:pPr>
      <w:r>
        <w:t>1) Spatial Rotation and Projection Failure (Q7): In the 3D die rotation problem, the uncompressed BF16 model successfully tracked all three rotations (S0 -&gt; S1 -&gt; S2 -&gt; S3) to correctly deduce that the number on the front face would be 5 (Option C). The Q4 model, however, lost orientation during the spatial transformation steps, concluding that the front face was 1 (Option A). This indicates that the geometric/spatial semantic relationships embedded in the model's high-dimensional weights are highly sensitive to the precision loss of 4-bit quantization.</w:t>
      </w:r>
    </w:p>
    <w:p>
      <w:pPr>
        <w:pStyle w:val="BodyText"/>
      </w:pPr>
      <w:r>
        <w:t>2) Arithmetic Hallucination and Force-Fitting (Q4): In the recursive bitwise function mystery(x, y), the BF16 model performed the bitwise operations correctly, identifying that 16 &amp; 8 = 0, which naturally terminated the recursion at 24 (Option C) with the explanation that the function calculates binary addition (13 + 11 = 24). In contrast, the Q4 model suffered from mathematical hallucinations during the dry-run, claiming that 16 &amp; 8 = 8 and 24 &amp; 16 = 16. This incorrect arithmetic led the model to evaluate the recursion to 40. Realizing that 40 was not among the multiple-choice options, the Q4 model performed an arbitrary post-hoc rationalization, claiming the recursion should halt at the intermediate state of 24 to match Option C. This demonstrates that while quantized models can sometimes select the correct final option due to multiple-choice constraint boundaries, their underlying reasoning is prone to computational noise.</w:t>
      </w:r>
    </w:p>
    <w:p>
      <w:pPr>
        <w:pStyle w:val="BodyText"/>
      </w:pPr>
      <w:r>
        <w:t>3) High-Order Epistemic Reasoning Limits (Q5): Both models failed the Cheryl's Birthday logic puzzle. The BF16 model identified the logical constraints but declared the problem 'ambiguous' and selected a placeholder (May 16), while the Q4 model incorrectly executed the elimination steps. This suggests that complex multi-agent reasoning is a boundary limit for the base 4B architecture size, regardless of quantization.</w:t>
      </w:r>
    </w:p>
    <w:p>
      <w:pPr>
        <w:pStyle w:val="Heading1"/>
      </w:pPr>
      <w:r>
        <w:t>Conclusion</w:t>
      </w:r>
    </w:p>
    <w:p>
      <w:pPr>
        <w:pStyle w:val="BodyText"/>
      </w:pPr>
      <w:r>
        <w:t>This study evaluated the impact of 4-bit Post-Training Quantization (PTQ) on the Gemma 4B model's performance and accuracy under local edge deployment constraints. The empirical findings reveal a clear trade-off. Quantizing the model to 4-bit (Q4_K_M) reduces its memory footprint from 11.0 GB to 7.7 GB, allowing it to fit entirely within consumer GPU VRAM and yielding a 4.2x speedup in throughput (~107 TPS vs ~25.5 TPS). However, this throughput gain comes at the cost of logical precision. Quantization introduces critical errors in spatial reasoning (3D rotations) and fine-grained arithmetic (bitwise logic), leading to logical hallucinations that the model attempts to self-correct only when constrained by multiple-choice options.</w:t>
      </w:r>
    </w:p>
    <w:p>
      <w:pPr>
        <w:pStyle w:val="BodyText"/>
      </w:pPr>
      <w:r>
        <w:t>For deployments where inference latency is critical (e.g., real-time chatbots), 4-bit quantization is highly effective. However, for applications requiring high mathematical precision, spatial tracking, or multi-step logic, uncompressed models (BF16/FP16) remain necessary, provided the hardware can accommodate them without triggering CPU offloading.</w:t>
      </w:r>
    </w:p>
    <w:p>
      <w:pPr>
        <w:pStyle w:val="Heading1"/>
        <w:ind w:hanging="0" w:left="0" w:right="0"/>
        <w:rPr/>
      </w:pPr>
      <w:r>
        <w:rPr/>
        <w:t>Open Data</w:t>
      </w:r>
    </w:p>
    <w:p>
      <w:pPr>
        <w:pStyle w:val="BodyText"/>
        <w:rPr/>
      </w:pPr>
      <w:r>
        <w:rPr/>
        <w:t>The scripts used for benchmarking, the prompt dataset, and the raw performance logs are available at:</w:t>
      </w:r>
    </w:p>
    <w:p>
      <w:pPr>
        <w:pStyle w:val="BodyText"/>
        <w:rPr/>
      </w:pPr>
      <w:r>
        <w:rPr/>
        <w:t>(-DRAFT PAPER NO LINK NEEDED)</w:t>
      </w:r>
    </w:p>
    <w:p>
      <w:pPr>
        <w:pStyle w:val="Heading1"/>
        <w:ind w:hanging="0" w:left="0" w:right="0"/>
        <w:rPr/>
      </w:pPr>
      <w:r>
        <w:rPr/>
        <w:t>Authors Contributorship</w:t>
      </w:r>
    </w:p>
    <w:p>
      <w:pPr>
        <w:pStyle w:val="Normal"/>
        <w:jc w:val="both"/>
        <w:rPr/>
      </w:pPr>
      <w:r>
        <w:rPr/>
        <w:t>The author was responsible for the experimental design, system configuration (Linux Kernel/Docker), data collection, and statistical analysis. The supervising lecturer provided guidance on the research methodology and the application of IEEE standard terminology.</w:t>
      </w:r>
    </w:p>
    <w:p>
      <w:pPr>
        <w:pStyle w:val="BodyText"/>
        <w:rPr>
          <w:b/>
        </w:rPr>
      </w:pPr>
      <w:r>
        <w:rPr>
          <w:b/>
        </w:rPr>
      </w:r>
    </w:p>
    <w:p>
      <w:pPr>
        <w:pStyle w:val="Heading5"/>
        <w:rPr/>
      </w:pPr>
      <w:r>
        <w:rPr/>
        <w:t xml:space="preserve">VI. Acknowledgment </w:t>
      </w:r>
    </w:p>
    <w:p>
      <w:pPr>
        <w:pStyle w:val="Heading5"/>
        <w:rPr/>
      </w:pPr>
      <w:r>
        <w:rPr/>
        <w:t>References</w:t>
      </w:r>
    </w:p>
    <w:p>
      <w:pPr>
        <w:pStyle w:val="Normal"/>
        <w:rPr/>
      </w:pPr>
      <w:r>
        <w:rPr/>
      </w:r>
    </w:p>
    <w:p>
      <w:pPr>
        <w:pStyle w:val="references"/>
        <w:numPr>
          <w:ilvl w:val="0"/>
          <w:numId w:val="5"/>
        </w:numPr>
        <w:ind w:hanging="354" w:left="354" w:right="0"/>
        <w:rPr/>
      </w:pPr>
      <w:r>
        <w:rPr/>
        <w:t xml:space="preserve">Dettmers, T., Lewis, M., Belkada, Y., &amp; Zettlemoyer, L. (2022). </w:t>
      </w:r>
      <w:r>
        <w:rPr>
          <w:i/>
        </w:rPr>
        <w:t>LLM.int8(): 8-bit Matrix Multiplication for Transformers at Scale</w:t>
      </w:r>
      <w:r>
        <w:rPr/>
        <w:t>. arXiv:2208.07339.</w:t>
      </w:r>
    </w:p>
    <w:p>
      <w:pPr>
        <w:pStyle w:val="references"/>
        <w:numPr>
          <w:ilvl w:val="0"/>
          <w:numId w:val="5"/>
        </w:numPr>
        <w:ind w:hanging="354" w:left="354" w:right="0"/>
        <w:rPr/>
      </w:pPr>
      <w:r>
        <w:rPr/>
        <w:t xml:space="preserve">Frantar, E., Ashkboos, S., Hoefler, T., &amp; Alistarh, D. (2023). </w:t>
      </w:r>
      <w:r>
        <w:rPr>
          <w:i/>
        </w:rPr>
        <w:t>GPTQ: Accurate Post-Training Quantization for Generative Pre-trained Transformers</w:t>
      </w:r>
      <w:r>
        <w:rPr/>
        <w:t>. ICLR 2023.</w:t>
      </w:r>
    </w:p>
    <w:p>
      <w:pPr>
        <w:pStyle w:val="references"/>
        <w:numPr>
          <w:ilvl w:val="0"/>
          <w:numId w:val="5"/>
        </w:numPr>
        <w:ind w:hanging="354" w:left="354" w:right="0"/>
        <w:rPr/>
      </w:pPr>
      <w:r>
        <w:rPr/>
        <w:t xml:space="preserve">IEEE. (2026). </w:t>
      </w:r>
      <w:r>
        <w:rPr>
          <w:i/>
        </w:rPr>
        <w:t>IEEE Thesaurus (January 2026 Edition)</w:t>
      </w:r>
      <w:r>
        <w:rPr/>
        <w:t>. IEEE Publications.</w:t>
      </w:r>
    </w:p>
    <w:p>
      <w:pPr>
        <w:pStyle w:val="references"/>
        <w:numPr>
          <w:ilvl w:val="0"/>
          <w:numId w:val="5"/>
        </w:numPr>
        <w:ind w:hanging="354" w:left="354" w:right="0"/>
        <w:rPr/>
      </w:pPr>
      <w:r>
        <w:rPr/>
        <w:t xml:space="preserve">Oates, B. J., Griffiths, M., &amp; McLean, R. (2022). </w:t>
      </w:r>
      <w:r>
        <w:rPr>
          <w:i/>
        </w:rPr>
        <w:t>Researching Information Systems and Computing</w:t>
      </w:r>
      <w:r>
        <w:rPr/>
        <w:t>. SAGE Publications.</w:t>
      </w:r>
    </w:p>
    <w:p>
      <w:pPr>
        <w:pStyle w:val="references"/>
        <w:numPr>
          <w:ilvl w:val="0"/>
          <w:numId w:val="5"/>
        </w:numPr>
        <w:ind w:hanging="354" w:left="354" w:right="0"/>
        <w:rPr/>
      </w:pPr>
      <w:r>
        <w:rPr/>
        <w:t>Additional Refrences ( to long to list on paper, 30 refrences total) link-will be provided in final paper</w:t>
      </w:r>
    </w:p>
    <w:p>
      <w:pPr>
        <w:pStyle w:val="references"/>
        <w:numPr>
          <w:ilvl w:val="0"/>
          <w:numId w:val="0"/>
        </w:numPr>
        <w:ind w:hanging="360" w:left="360" w:right="0"/>
        <w:rPr/>
      </w:pPr>
      <w:r>
        <w:rPr/>
      </w:r>
    </w:p>
    <w:p>
      <w:pPr>
        <w:pStyle w:val="references"/>
        <w:numPr>
          <w:ilvl w:val="0"/>
          <w:numId w:val="0"/>
        </w:numPr>
        <w:ind w:hanging="360" w:left="360" w:right="0"/>
        <w:jc w:val="center"/>
        <w:rPr>
          <w:rFonts w:eastAsia="SimSun;宋体"/>
          <w:b/>
          <w:color w:val="FF0000"/>
          <w:spacing w:val="-1"/>
          <w:sz w:val="20"/>
          <w:szCs w:val="20"/>
          <w:lang w:val="en-US"/>
        </w:rPr>
      </w:pPr>
      <w:r>
        <w:rPr>
          <w:rFonts w:eastAsia="SimSun;宋体"/>
          <w:b/>
          <w:color w:val="FF0000"/>
          <w:spacing w:val="-1"/>
          <w:sz w:val="20"/>
          <w:szCs w:val="20"/>
          <w:lang w:val="en-US"/>
        </w:rPr>
      </w:r>
    </w:p>
    <w:p>
      <w:pPr>
        <w:sectPr>
          <w:type w:val="continuous"/>
          <w:pgSz w:w="11906" w:h="16838"/>
          <w:pgMar w:left="893" w:right="893" w:gutter="0" w:header="0" w:top="540" w:footer="720" w:bottom="1440"/>
          <w:cols w:num="2" w:space="360" w:equalWidth="true" w:sep="false"/>
          <w:formProt w:val="false"/>
          <w:titlePg/>
          <w:textDirection w:val="lrTb"/>
          <w:docGrid w:type="default" w:linePitch="360" w:charSpace="0"/>
        </w:sectPr>
      </w:pPr>
    </w:p>
    <w:p>
      <w:pPr>
        <w:pStyle w:val="Normal"/>
        <w:rPr/>
      </w:pPr>
      <w:r>
        <w:rPr/>
      </w:r>
    </w:p>
    <w:sectPr>
      <w:type w:val="continuous"/>
      <w:pgSz w:w="11906" w:h="16838"/>
      <w:pgMar w:left="893" w:right="893" w:gutter="0" w:header="0" w:top="540" w:footer="720" w:bottom="1440"/>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Symbol">
    <w:charset w:val="01"/>
    <w:family w:val="roman"/>
    <w:pitch w:val="variable"/>
  </w:font>
  <w:font w:name="Courier New">
    <w:charset w:val="01"/>
    <w:family w:val="roman"/>
    <w:pitch w:val="variable"/>
  </w:font>
  <w:font w:name="Wingdings">
    <w:charset w:val="01"/>
    <w:family w:val="roman"/>
    <w:pitch w:val="variable"/>
  </w:font>
  <w:font w:name="OpenSymbol">
    <w:altName w:val="Arial Unicode MS"/>
    <w:charset w:val="01"/>
    <w:family w:val="roman"/>
    <w:pitch w:val="variable"/>
  </w:font>
  <w:font w:name="Liberation Mono">
    <w:altName w:val="Courier New"/>
    <w:charset w:val="01"/>
    <w:family w:val="roman"/>
    <w:pitch w:val="variable"/>
  </w:font>
  <w:font w:name="Liberation Sans">
    <w:altName w:val="Arial"/>
    <w:charset w:val="01"/>
    <w:family w:val="swiss"/>
    <w:pitch w:val="variable"/>
  </w:font>
  <w:font w:name="Symbol">
    <w:charset w:val="02"/>
    <w:family w:val="auto"/>
    <w:pitch w:val="default"/>
  </w:font>
  <w:font w:name="OpenSymbol">
    <w:altName w:val="Arial Unicode MS"/>
    <w:charset w:val="01"/>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left"/>
      <w:rPr>
        <w:sz w:val="16"/>
        <w:szCs w:val="16"/>
      </w:rPr>
    </w:pPr>
    <w:r>
      <w:rPr>
        <w:sz w:val="16"/>
        <w:szCs w:val="16"/>
      </w:rPr>
      <w:t>XXX-X-XXXX-XXXX-X/XX/$XX.00 ©20XX IEEE</w: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upperRoman"/>
      <w:pStyle w:val="Heading1"/>
      <w:lvlText w:val="%1."/>
      <w:lvlJc w:val="center"/>
      <w:pPr>
        <w:tabs>
          <w:tab w:val="num" w:pos="576"/>
        </w:tabs>
        <w:ind w:left="0" w:firstLine="216"/>
      </w:pPr>
      <w:rPr>
        <w:rFonts w:ascii="Times New Roman" w:hAnsi="Times New Roman" w:cs="Times New Roman"/>
        <w:caps w:val="false"/>
        <w:smallCaps w:val="false"/>
        <w:strike w:val="false"/>
        <w:dstrike w:val="false"/>
        <w:outline w:val="false"/>
        <w:shadow w:val="false"/>
        <w:vanish w:val="false"/>
        <w:color w:val="000000"/>
        <w:position w:val="0"/>
        <w:sz w:val="20"/>
        <w:szCs w:val="20"/>
        <w:vertAlign w:val="baseline"/>
      </w:rPr>
    </w:lvl>
    <w:lvl w:ilvl="1">
      <w:start w:val="1"/>
      <w:numFmt w:val="upperLetter"/>
      <w:pStyle w:val="Heading2"/>
      <w:lvlText w:val="%2."/>
      <w:lvlJc w:val="left"/>
      <w:pPr>
        <w:tabs>
          <w:tab w:val="num" w:pos="360"/>
        </w:tabs>
        <w:ind w:left="288" w:hanging="288"/>
      </w:pPr>
      <w:rPr>
        <w:rFonts w:ascii="Times New Roman" w:hAnsi="Times New Roman" w:cs="Times New Roman"/>
        <w:b w:val="false"/>
        <w:bCs w:val="false"/>
        <w:i/>
        <w:iCs/>
        <w:caps w:val="false"/>
        <w:smallCaps w:val="false"/>
        <w:strike w:val="false"/>
        <w:dstrike w:val="false"/>
        <w:outline w:val="false"/>
        <w:shadow w:val="false"/>
        <w:vanish w:val="false"/>
        <w:color w:val="000000"/>
        <w:position w:val="0"/>
        <w:sz w:val="20"/>
        <w:szCs w:val="20"/>
        <w:vertAlign w:val="baseline"/>
      </w:rPr>
    </w:lvl>
    <w:lvl w:ilvl="2">
      <w:start w:val="1"/>
      <w:numFmt w:val="decimal"/>
      <w:pStyle w:val="Heading3"/>
      <w:lvlText w:val="%3)"/>
      <w:lvlJc w:val="left"/>
      <w:pPr>
        <w:tabs>
          <w:tab w:val="num" w:pos="540"/>
        </w:tabs>
        <w:ind w:left="0" w:firstLine="180"/>
      </w:pPr>
      <w:rPr>
        <w:rFonts w:ascii="Times New Roman" w:hAnsi="Times New Roman" w:cs="Times New Roman"/>
        <w:b w:val="false"/>
        <w:bCs w:val="false"/>
        <w:i/>
        <w:iCs/>
        <w:caps w:val="false"/>
        <w:smallCaps w:val="false"/>
        <w:strike w:val="false"/>
        <w:dstrike w:val="false"/>
        <w:outline w:val="false"/>
        <w:shadow w:val="false"/>
        <w:vanish w:val="false"/>
        <w:color w:val="000000"/>
        <w:position w:val="0"/>
        <w:sz w:val="20"/>
        <w:szCs w:val="20"/>
        <w:vertAlign w:val="baseline"/>
      </w:rPr>
    </w:lvl>
    <w:lvl w:ilvl="3">
      <w:start w:val="1"/>
      <w:numFmt w:val="lowerLetter"/>
      <w:pStyle w:val="Heading4"/>
      <w:lvlText w:val="%4)"/>
      <w:lvlJc w:val="left"/>
      <w:pPr>
        <w:tabs>
          <w:tab w:val="num" w:pos="630"/>
        </w:tabs>
        <w:ind w:left="0" w:firstLine="360"/>
      </w:pPr>
      <w:rPr>
        <w:rFonts w:ascii="Times New Roman" w:hAnsi="Times New Roman" w:cs="Times New Roman"/>
        <w:b w:val="false"/>
        <w:bCs w:val="false"/>
        <w:i/>
        <w:iCs/>
        <w:sz w:val="20"/>
        <w:szCs w:val="20"/>
      </w:rPr>
    </w:lvl>
    <w:lvl w:ilvl="4">
      <w:start w:val="1"/>
      <w:numFmt w:val="none"/>
      <w:suff w:val="nothing"/>
      <w:lvlText w:val="%5"/>
      <w:lvlJc w:val="left"/>
      <w:pPr>
        <w:tabs>
          <w:tab w:val="num" w:pos="0"/>
        </w:tabs>
        <w:ind w:left="2880" w:hanging="0"/>
      </w:pPr>
      <w:rPr>
        <w:rFonts w:cs="Times New Roman"/>
      </w:rPr>
    </w:lvl>
    <w:lvl w:ilvl="5">
      <w:start w:val="1"/>
      <w:numFmt w:val="lowerLetter"/>
      <w:pStyle w:val="Heading6"/>
      <w:lvlText w:val="(%6)"/>
      <w:lvlJc w:val="left"/>
      <w:pPr>
        <w:tabs>
          <w:tab w:val="num" w:pos="3960"/>
        </w:tabs>
        <w:ind w:left="3600" w:hanging="0"/>
      </w:pPr>
      <w:rPr>
        <w:rFonts w:cs="Times New Roman"/>
      </w:rPr>
    </w:lvl>
    <w:lvl w:ilvl="6">
      <w:start w:val="1"/>
      <w:numFmt w:val="lowerRoman"/>
      <w:pStyle w:val="Heading7"/>
      <w:lvlText w:val="(%7)"/>
      <w:lvlJc w:val="left"/>
      <w:pPr>
        <w:tabs>
          <w:tab w:val="num" w:pos="4680"/>
        </w:tabs>
        <w:ind w:left="4320" w:hanging="0"/>
      </w:pPr>
      <w:rPr>
        <w:rFonts w:cs="Times New Roman"/>
      </w:rPr>
    </w:lvl>
    <w:lvl w:ilvl="7">
      <w:start w:val="1"/>
      <w:numFmt w:val="lowerLetter"/>
      <w:pStyle w:val="Heading8"/>
      <w:lvlText w:val="(%8)"/>
      <w:lvlJc w:val="left"/>
      <w:pPr>
        <w:tabs>
          <w:tab w:val="num" w:pos="5400"/>
        </w:tabs>
        <w:ind w:left="5040" w:hanging="0"/>
      </w:pPr>
      <w:rPr>
        <w:rFonts w:cs="Times New Roman"/>
      </w:rPr>
    </w:lvl>
    <w:lvl w:ilvl="8">
      <w:start w:val="1"/>
      <w:numFmt w:val="lowerRoman"/>
      <w:pStyle w:val="Heading9"/>
      <w:lvlText w:val="(%9)"/>
      <w:lvlJc w:val="left"/>
      <w:pPr>
        <w:tabs>
          <w:tab w:val="num" w:pos="6120"/>
        </w:tabs>
        <w:ind w:left="5760" w:hanging="0"/>
      </w:pPr>
      <w:rPr>
        <w:rFonts w:cs="Times New Roman"/>
      </w:rPr>
    </w:lvl>
  </w:abstractNum>
  <w:abstractNum w:abstractNumId="2">
    <w:lvl w:ilvl="0">
      <w:start w:val="1"/>
      <w:numFmt w:val="decimal"/>
      <w:lvlText w:val="%1 "/>
      <w:lvlJc w:val="left"/>
      <w:pPr>
        <w:tabs>
          <w:tab w:val="num" w:pos="648"/>
        </w:tabs>
        <w:ind w:left="0" w:firstLine="288"/>
      </w:pPr>
      <w:rPr>
        <w:rFonts w:ascii="Times New Roman" w:hAnsi="Times New Roman" w:cs="Times New Roman"/>
        <w:b w:val="false"/>
        <w:bCs w:val="false"/>
        <w:i w:val="false"/>
        <w:iCs w:val="false"/>
        <w:caps w:val="false"/>
        <w:smallCaps w:val="false"/>
        <w:strike w:val="false"/>
        <w:dstrike w:val="false"/>
        <w:outline w:val="false"/>
        <w:shadow w:val="false"/>
        <w:vanish w:val="false"/>
        <w:sz w:val="16"/>
        <w:szCs w:val="16"/>
        <w:vertAlign w:val="superscrip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648"/>
        </w:tabs>
        <w:ind w:left="648"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lowerLetter"/>
      <w:lvlText w:val="%1."/>
      <w:lvlJc w:val="right"/>
      <w:pPr>
        <w:tabs>
          <w:tab w:val="num" w:pos="0"/>
        </w:tabs>
        <w:ind w:left="418" w:hanging="360"/>
      </w:pPr>
      <w:rPr>
        <w:rFonts w:ascii="Times New Roman" w:hAnsi="Times New Roman" w:cs="Times New Roman"/>
        <w:b w:val="false"/>
        <w:i w:val="false"/>
        <w:caps w:val="false"/>
        <w:smallCaps w:val="false"/>
        <w:strike w:val="false"/>
        <w:dstrike w:val="false"/>
        <w:outline w:val="false"/>
        <w:shadow w:val="false"/>
        <w:vanish w:val="false"/>
        <w:color w:val="000000"/>
        <w:spacing w:val="0"/>
        <w:w w:val="100"/>
        <w:kern w:val="0"/>
        <w:position w:val="0"/>
        <w:sz w:val="16"/>
        <w:vertAlign w:val="baseline"/>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360"/>
        </w:tabs>
        <w:ind w:left="360" w:hanging="360"/>
      </w:pPr>
      <w:rPr>
        <w:rFonts w:ascii="Times New Roman" w:hAnsi="Times New Roman" w:cs="Times New Roman"/>
        <w:b w:val="false"/>
        <w:bCs w:val="false"/>
        <w:i w:val="false"/>
        <w:iCs w:val="false"/>
        <w:sz w:val="16"/>
        <w:szCs w:val="16"/>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Fig. %1."/>
      <w:lvlJc w:val="left"/>
      <w:pPr>
        <w:tabs>
          <w:tab w:val="num" w:pos="0"/>
        </w:tabs>
        <w:ind w:left="360" w:hanging="360"/>
      </w:pPr>
      <w:rPr>
        <w:rFonts w:ascii="Times New Roman" w:hAnsi="Times New Roman" w:cs="Times New Roman"/>
        <w:b w:val="false"/>
        <w:bCs w:val="false"/>
        <w:i w:val="false"/>
        <w:iCs w:val="false"/>
        <w:color w:val="000000"/>
        <w:sz w:val="16"/>
        <w:szCs w:val="16"/>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upperRoman"/>
      <w:lvlText w:val="TABLE %1. "/>
      <w:lvlJc w:val="left"/>
      <w:pPr>
        <w:tabs>
          <w:tab w:val="num" w:pos="1080"/>
        </w:tabs>
        <w:ind w:left="0" w:hanging="0"/>
      </w:pPr>
      <w:rPr>
        <w:rFonts w:ascii="Times New Roman" w:hAnsi="Times New Roman" w:cs="Times New Roman"/>
        <w:b w:val="false"/>
        <w:bCs w:val="false"/>
        <w:i w:val="false"/>
        <w:iCs w:val="false"/>
        <w:sz w:val="16"/>
        <w:szCs w:val="16"/>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8">
    <w:lvl w:ilvl="0">
      <w:start w:val="1"/>
      <w:numFmt w:val="bullet"/>
      <w:lvlText w:val=""/>
      <w:lvlJc w:val="left"/>
      <w:pPr>
        <w:tabs>
          <w:tab w:val="num" w:pos="1008"/>
        </w:tabs>
        <w:ind w:left="1008" w:hanging="360"/>
      </w:pPr>
      <w:rPr>
        <w:rFonts w:ascii="Symbol" w:hAnsi="Symbol" w:cs="Symbol" w:hint="default"/>
      </w:rPr>
    </w:lvl>
    <w:lvl w:ilvl="1">
      <w:start w:val="1"/>
      <w:numFmt w:val="bullet"/>
      <w:lvlText w:val="◦"/>
      <w:lvlJc w:val="left"/>
      <w:pPr>
        <w:tabs>
          <w:tab w:val="num" w:pos="1368"/>
        </w:tabs>
        <w:ind w:left="1368" w:hanging="360"/>
      </w:pPr>
      <w:rPr>
        <w:rFonts w:ascii="OpenSymbol" w:hAnsi="OpenSymbol" w:cs="OpenSymbol" w:hint="default"/>
      </w:rPr>
    </w:lvl>
    <w:lvl w:ilvl="2">
      <w:start w:val="1"/>
      <w:numFmt w:val="bullet"/>
      <w:lvlText w:val="▪"/>
      <w:lvlJc w:val="left"/>
      <w:pPr>
        <w:tabs>
          <w:tab w:val="num" w:pos="1728"/>
        </w:tabs>
        <w:ind w:left="1728" w:hanging="360"/>
      </w:pPr>
      <w:rPr>
        <w:rFonts w:ascii="OpenSymbol" w:hAnsi="OpenSymbol" w:cs="OpenSymbol" w:hint="default"/>
      </w:rPr>
    </w:lvl>
    <w:lvl w:ilvl="3">
      <w:start w:val="1"/>
      <w:numFmt w:val="bullet"/>
      <w:lvlText w:val=""/>
      <w:lvlJc w:val="left"/>
      <w:pPr>
        <w:tabs>
          <w:tab w:val="num" w:pos="2088"/>
        </w:tabs>
        <w:ind w:left="2088" w:hanging="360"/>
      </w:pPr>
      <w:rPr>
        <w:rFonts w:ascii="Symbol" w:hAnsi="Symbol" w:cs="Symbol" w:hint="default"/>
      </w:rPr>
    </w:lvl>
    <w:lvl w:ilvl="4">
      <w:start w:val="1"/>
      <w:numFmt w:val="bullet"/>
      <w:lvlText w:val="◦"/>
      <w:lvlJc w:val="left"/>
      <w:pPr>
        <w:tabs>
          <w:tab w:val="num" w:pos="2448"/>
        </w:tabs>
        <w:ind w:left="2448" w:hanging="360"/>
      </w:pPr>
      <w:rPr>
        <w:rFonts w:ascii="OpenSymbol" w:hAnsi="OpenSymbol" w:cs="OpenSymbol" w:hint="default"/>
      </w:rPr>
    </w:lvl>
    <w:lvl w:ilvl="5">
      <w:start w:val="1"/>
      <w:numFmt w:val="bullet"/>
      <w:lvlText w:val="▪"/>
      <w:lvlJc w:val="left"/>
      <w:pPr>
        <w:tabs>
          <w:tab w:val="num" w:pos="2808"/>
        </w:tabs>
        <w:ind w:left="2808" w:hanging="360"/>
      </w:pPr>
      <w:rPr>
        <w:rFonts w:ascii="OpenSymbol" w:hAnsi="OpenSymbol" w:cs="OpenSymbol" w:hint="default"/>
      </w:rPr>
    </w:lvl>
    <w:lvl w:ilvl="6">
      <w:start w:val="1"/>
      <w:numFmt w:val="bullet"/>
      <w:lvlText w:val=""/>
      <w:lvlJc w:val="left"/>
      <w:pPr>
        <w:tabs>
          <w:tab w:val="num" w:pos="3168"/>
        </w:tabs>
        <w:ind w:left="3168" w:hanging="360"/>
      </w:pPr>
      <w:rPr>
        <w:rFonts w:ascii="Symbol" w:hAnsi="Symbol" w:cs="Symbol" w:hint="default"/>
      </w:rPr>
    </w:lvl>
    <w:lvl w:ilvl="7">
      <w:start w:val="1"/>
      <w:numFmt w:val="bullet"/>
      <w:lvlText w:val="◦"/>
      <w:lvlJc w:val="left"/>
      <w:pPr>
        <w:tabs>
          <w:tab w:val="num" w:pos="3528"/>
        </w:tabs>
        <w:ind w:left="3528" w:hanging="360"/>
      </w:pPr>
      <w:rPr>
        <w:rFonts w:ascii="OpenSymbol" w:hAnsi="OpenSymbol" w:cs="OpenSymbol" w:hint="default"/>
      </w:rPr>
    </w:lvl>
    <w:lvl w:ilvl="8">
      <w:start w:val="1"/>
      <w:numFmt w:val="bullet"/>
      <w:lvlText w:val="▪"/>
      <w:lvlJc w:val="left"/>
      <w:pPr>
        <w:tabs>
          <w:tab w:val="num" w:pos="3888"/>
        </w:tabs>
        <w:ind w:left="3888" w:hanging="360"/>
      </w:pPr>
      <w:rPr>
        <w:rFonts w:ascii="OpenSymbol" w:hAnsi="OpenSymbol" w:cs="OpenSymbol" w:hint="default"/>
      </w:rPr>
    </w:lvl>
  </w:abstractNum>
  <w:abstractNum w:abstractNumId="9">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0">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11">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w:zoom w:percent="124"/>
  <w:defaultTabStop w:val="720"/>
  <w:autoHyphenation w:val="true"/>
  <w:hyphenationZone w:val="0"/>
  <w:compat>
    <w:doNotBreakWrappedTables/>
    <w:compatSetting w:name="compatibilityMode" w:uri="http://schemas.microsoft.com/office/word" w:val="12"/>
    <w:compatSetting w:name="useWord2013TrackBottomHyphenation"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suppressAutoHyphens w:val="true"/>
      <w:kinsoku w:val="true"/>
      <w:overflowPunct w:val="true"/>
      <w:autoSpaceDE w:val="true"/>
      <w:bidi w:val="0"/>
      <w:spacing w:before="0" w:after="0"/>
      <w:jc w:val="center"/>
    </w:pPr>
    <w:rPr>
      <w:rFonts w:ascii="Times New Roman" w:hAnsi="Times New Roman" w:eastAsia="SimSun;宋体" w:cs="Times New Roman"/>
      <w:color w:val="auto"/>
      <w:kern w:val="0"/>
      <w:sz w:val="20"/>
      <w:szCs w:val="20"/>
      <w:lang w:val="en-US" w:eastAsia="zh-CN" w:bidi="ar-SA"/>
    </w:rPr>
  </w:style>
  <w:style w:type="paragraph" w:styleId="Heading1">
    <w:name w:val="heading 1"/>
    <w:basedOn w:val="Normal"/>
    <w:next w:val="Normal"/>
    <w:qFormat/>
    <w:pPr>
      <w:keepNext w:val="true"/>
      <w:keepLines/>
      <w:numPr>
        <w:ilvl w:val="0"/>
        <w:numId w:val="1"/>
      </w:numPr>
      <w:tabs>
        <w:tab w:val="clear" w:pos="720"/>
        <w:tab w:val="left" w:pos="216" w:leader="none"/>
      </w:tabs>
      <w:spacing w:before="160" w:after="80"/>
      <w:ind w:hanging="0" w:left="0" w:right="0"/>
      <w:outlineLvl w:val="0"/>
    </w:pPr>
    <w:rPr>
      <w:smallCaps/>
      <w:lang w:val="en-US" w:eastAsia="en-US"/>
    </w:rPr>
  </w:style>
  <w:style w:type="paragraph" w:styleId="Heading2">
    <w:name w:val="heading 2"/>
    <w:basedOn w:val="Normal"/>
    <w:next w:val="Normal"/>
    <w:qFormat/>
    <w:pPr>
      <w:keepNext w:val="true"/>
      <w:keepLines/>
      <w:numPr>
        <w:ilvl w:val="1"/>
        <w:numId w:val="1"/>
      </w:numPr>
      <w:tabs>
        <w:tab w:val="clear" w:pos="720"/>
        <w:tab w:val="left" w:pos="288" w:leader="none"/>
      </w:tabs>
      <w:spacing w:before="120" w:after="60"/>
      <w:jc w:val="left"/>
      <w:outlineLvl w:val="1"/>
    </w:pPr>
    <w:rPr>
      <w:i/>
      <w:iCs/>
      <w:lang w:val="en-US" w:eastAsia="en-US"/>
    </w:rPr>
  </w:style>
  <w:style w:type="paragraph" w:styleId="Heading3">
    <w:name w:val="heading 3"/>
    <w:basedOn w:val="Normal"/>
    <w:next w:val="Normal"/>
    <w:qFormat/>
    <w:pPr>
      <w:numPr>
        <w:ilvl w:val="2"/>
        <w:numId w:val="1"/>
      </w:numPr>
      <w:spacing w:lineRule="exact" w:line="240"/>
      <w:ind w:firstLine="288" w:left="0" w:right="0"/>
      <w:jc w:val="both"/>
      <w:outlineLvl w:val="2"/>
    </w:pPr>
    <w:rPr>
      <w:i/>
      <w:iCs/>
      <w:lang w:val="en-US" w:eastAsia="en-US"/>
    </w:rPr>
  </w:style>
  <w:style w:type="paragraph" w:styleId="Heading4">
    <w:name w:val="heading 4"/>
    <w:basedOn w:val="Normal"/>
    <w:next w:val="Normal"/>
    <w:qFormat/>
    <w:pPr>
      <w:numPr>
        <w:ilvl w:val="3"/>
        <w:numId w:val="1"/>
      </w:numPr>
      <w:tabs>
        <w:tab w:val="left" w:pos="720" w:leader="none"/>
      </w:tabs>
      <w:spacing w:before="40" w:after="40"/>
      <w:ind w:firstLine="504" w:left="0" w:right="0"/>
      <w:jc w:val="both"/>
      <w:outlineLvl w:val="3"/>
    </w:pPr>
    <w:rPr>
      <w:i/>
      <w:iCs/>
      <w:lang w:val="en-US" w:eastAsia="en-US"/>
    </w:rPr>
  </w:style>
  <w:style w:type="paragraph" w:styleId="Heading5">
    <w:name w:val="heading 5"/>
    <w:basedOn w:val="Normal"/>
    <w:next w:val="Normal"/>
    <w:qFormat/>
    <w:pPr>
      <w:numPr>
        <w:ilvl w:val="0"/>
        <w:numId w:val="0"/>
      </w:numPr>
      <w:tabs>
        <w:tab w:val="clear" w:pos="720"/>
        <w:tab w:val="left" w:pos="360" w:leader="none"/>
      </w:tabs>
      <w:spacing w:before="160" w:after="80"/>
      <w:outlineLvl w:val="4"/>
    </w:pPr>
    <w:rPr>
      <w:smallCaps/>
      <w:lang w:val="en-US" w:eastAsia="en-US"/>
    </w:rPr>
  </w:style>
  <w:style w:type="paragraph" w:styleId="Heading6">
    <w:name w:val="heading 6"/>
    <w:basedOn w:val="Heading"/>
    <w:next w:val="BodyText"/>
    <w:qFormat/>
    <w:pPr>
      <w:numPr>
        <w:ilvl w:val="5"/>
        <w:numId w:val="1"/>
      </w:numPr>
      <w:spacing w:before="60" w:after="60"/>
      <w:outlineLvl w:val="5"/>
    </w:pPr>
    <w:rPr>
      <w:b/>
      <w:bCs/>
      <w:i/>
      <w:iCs/>
      <w:sz w:val="24"/>
      <w:szCs w:val="24"/>
    </w:rPr>
  </w:style>
  <w:style w:type="paragraph" w:styleId="Heading7">
    <w:name w:val="heading 7"/>
    <w:basedOn w:val="Heading"/>
    <w:next w:val="BodyText"/>
    <w:qFormat/>
    <w:pPr>
      <w:numPr>
        <w:ilvl w:val="6"/>
        <w:numId w:val="1"/>
      </w:numPr>
      <w:spacing w:before="60" w:after="60"/>
      <w:outlineLvl w:val="6"/>
    </w:pPr>
    <w:rPr>
      <w:b/>
      <w:bCs/>
      <w:sz w:val="20"/>
      <w:szCs w:val="20"/>
    </w:rPr>
  </w:style>
  <w:style w:type="paragraph" w:styleId="Heading8">
    <w:name w:val="heading 8"/>
    <w:basedOn w:val="Heading"/>
    <w:next w:val="BodyText"/>
    <w:qFormat/>
    <w:pPr>
      <w:numPr>
        <w:ilvl w:val="7"/>
        <w:numId w:val="1"/>
      </w:numPr>
      <w:spacing w:before="60" w:after="60"/>
      <w:outlineLvl w:val="7"/>
    </w:pPr>
    <w:rPr>
      <w:b/>
      <w:bCs/>
      <w:i/>
      <w:iCs/>
      <w:sz w:val="20"/>
      <w:szCs w:val="20"/>
    </w:rPr>
  </w:style>
  <w:style w:type="paragraph" w:styleId="Heading9">
    <w:name w:val="heading 9"/>
    <w:basedOn w:val="Heading"/>
    <w:next w:val="BodyText"/>
    <w:qFormat/>
    <w:pPr>
      <w:numPr>
        <w:ilvl w:val="8"/>
        <w:numId w:val="1"/>
      </w:numPr>
      <w:spacing w:before="60" w:after="60"/>
      <w:outlineLvl w:val="8"/>
    </w:pPr>
    <w:rPr>
      <w:b/>
      <w:bCs/>
      <w:sz w:val="18"/>
      <w:szCs w:val="18"/>
    </w:rPr>
  </w:style>
  <w:style w:type="character" w:styleId="WW8Num1z0">
    <w:name w:val="WW8Num1z0"/>
    <w:qFormat/>
    <w:rPr>
      <w:rFonts w:ascii="Symbol" w:hAnsi="Symbol" w:cs="Symbol"/>
    </w:rPr>
  </w:style>
  <w:style w:type="character" w:styleId="WW8Num1z2">
    <w:name w:val="WW8Num1z2"/>
    <w:qFormat/>
    <w:rPr>
      <w:rFonts w:ascii="Courier New" w:hAnsi="Courier New" w:cs="Courier New"/>
    </w:rPr>
  </w:style>
  <w:style w:type="character" w:styleId="WW8Num1z3">
    <w:name w:val="WW8Num1z3"/>
    <w:qFormat/>
    <w:rPr>
      <w:rFonts w:ascii="Wingdings" w:hAnsi="Wingdings" w:cs="Wingdings"/>
    </w:rPr>
  </w:style>
  <w:style w:type="character" w:styleId="WW8Num6z0">
    <w:name w:val="WW8Num6z0"/>
    <w:qFormat/>
    <w:rPr>
      <w:rFonts w:ascii="Symbol" w:hAnsi="Symbol" w:cs="Symbol"/>
    </w:rPr>
  </w:style>
  <w:style w:type="character" w:styleId="WW8Num7z0">
    <w:name w:val="WW8Num7z0"/>
    <w:qFormat/>
    <w:rPr>
      <w:rFonts w:ascii="Symbol" w:hAnsi="Symbol" w:cs="Symbol"/>
    </w:rPr>
  </w:style>
  <w:style w:type="character" w:styleId="WW8Num8z0">
    <w:name w:val="WW8Num8z0"/>
    <w:qFormat/>
    <w:rPr>
      <w:rFonts w:ascii="Symbol" w:hAnsi="Symbol" w:cs="Symbol"/>
    </w:rPr>
  </w:style>
  <w:style w:type="character" w:styleId="WW8Num9z0">
    <w:name w:val="WW8Num9z0"/>
    <w:qFormat/>
    <w:rPr>
      <w:rFonts w:ascii="Symbol" w:hAnsi="Symbol" w:cs="Symbol"/>
    </w:rPr>
  </w:style>
  <w:style w:type="character" w:styleId="WW8Num11z0">
    <w:name w:val="WW8Num11z0"/>
    <w:qFormat/>
    <w:rPr>
      <w:rFonts w:ascii="Symbol" w:hAnsi="Symbol" w:cs="Symbol"/>
    </w:rPr>
  </w:style>
  <w:style w:type="character" w:styleId="WW8Num13z0">
    <w:name w:val="WW8Num13z0"/>
    <w:qFormat/>
    <w:rPr>
      <w:rFonts w:cs="Times New Roman"/>
      <w:i w:val="false"/>
      <w:iCs w:val="false"/>
    </w:rPr>
  </w:style>
  <w:style w:type="character" w:styleId="WW8Num13z1">
    <w:name w:val="WW8Num13z1"/>
    <w:qFormat/>
    <w:rPr>
      <w:rFonts w:cs="Times New Roman"/>
    </w:rPr>
  </w:style>
  <w:style w:type="character" w:styleId="WW8Num14z0">
    <w:name w:val="WW8Num14z0"/>
    <w:qFormat/>
    <w:rPr>
      <w:rFonts w:ascii="Times New Roman" w:hAnsi="Times New Roman" w:cs="Times New Roman"/>
      <w:b w:val="false"/>
      <w:bCs w:val="false"/>
      <w:i w:val="false"/>
      <w:iCs w:val="false"/>
      <w:caps w:val="false"/>
      <w:smallCaps w:val="false"/>
      <w:strike w:val="false"/>
      <w:dstrike w:val="false"/>
      <w:outline w:val="false"/>
      <w:shadow w:val="false"/>
      <w:vanish w:val="false"/>
      <w:sz w:val="16"/>
      <w:szCs w:val="16"/>
      <w:vertAlign w:val="superscript"/>
    </w:rPr>
  </w:style>
  <w:style w:type="character" w:styleId="WW8Num14z1">
    <w:name w:val="WW8Num14z1"/>
    <w:qFormat/>
    <w:rPr>
      <w:rFonts w:cs="Times New Roman"/>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6z0">
    <w:name w:val="WW8Num16z0"/>
    <w:qFormat/>
    <w:rPr>
      <w:rFonts w:cs="Times New Roman"/>
    </w:rPr>
  </w:style>
  <w:style w:type="character" w:styleId="WW8Num17z0">
    <w:name w:val="WW8Num17z0"/>
    <w:qFormat/>
    <w:rPr>
      <w:rFonts w:ascii="Times New Roman" w:hAnsi="Times New Roman" w:cs="Times New Roman"/>
      <w:caps w:val="false"/>
      <w:smallCaps w:val="false"/>
      <w:strike w:val="false"/>
      <w:dstrike w:val="false"/>
      <w:outline w:val="false"/>
      <w:shadow w:val="false"/>
      <w:vanish w:val="false"/>
      <w:color w:val="000000"/>
      <w:position w:val="0"/>
      <w:sz w:val="20"/>
      <w:szCs w:val="20"/>
      <w:vertAlign w:val="baseline"/>
    </w:rPr>
  </w:style>
  <w:style w:type="character" w:styleId="WW8Num17z1">
    <w:name w:val="WW8Num17z1"/>
    <w:qFormat/>
    <w:rPr>
      <w:rFonts w:ascii="Times New Roman" w:hAnsi="Times New Roman" w:cs="Times New Roman"/>
      <w:b w:val="false"/>
      <w:bCs w:val="false"/>
      <w:i/>
      <w:iCs/>
      <w:caps w:val="false"/>
      <w:smallCaps w:val="false"/>
      <w:strike w:val="false"/>
      <w:dstrike w:val="false"/>
      <w:outline w:val="false"/>
      <w:shadow w:val="false"/>
      <w:vanish w:val="false"/>
      <w:color w:val="000000"/>
      <w:position w:val="0"/>
      <w:sz w:val="20"/>
      <w:szCs w:val="20"/>
      <w:vertAlign w:val="baseline"/>
    </w:rPr>
  </w:style>
  <w:style w:type="character" w:styleId="WW8Num17z3">
    <w:name w:val="WW8Num17z3"/>
    <w:qFormat/>
    <w:rPr>
      <w:rFonts w:ascii="Times New Roman" w:hAnsi="Times New Roman" w:cs="Times New Roman"/>
      <w:b w:val="false"/>
      <w:bCs w:val="false"/>
      <w:i/>
      <w:iCs/>
      <w:sz w:val="20"/>
      <w:szCs w:val="20"/>
    </w:rPr>
  </w:style>
  <w:style w:type="character" w:styleId="WW8Num17z4">
    <w:name w:val="WW8Num17z4"/>
    <w:qFormat/>
    <w:rPr>
      <w:rFonts w:cs="Times New Roman"/>
    </w:rPr>
  </w:style>
  <w:style w:type="character" w:styleId="WW8Num18z0">
    <w:name w:val="WW8Num18z0"/>
    <w:qFormat/>
    <w:rPr>
      <w:rFonts w:ascii="Times New Roman" w:hAnsi="Times New Roman" w:cs="Times New Roman"/>
      <w:b w:val="false"/>
      <w:i w:val="false"/>
      <w:caps w:val="false"/>
      <w:smallCaps w:val="false"/>
      <w:strike w:val="false"/>
      <w:dstrike w:val="false"/>
      <w:outline w:val="false"/>
      <w:shadow w:val="false"/>
      <w:vanish w:val="false"/>
      <w:color w:val="000000"/>
      <w:spacing w:val="0"/>
      <w:w w:val="100"/>
      <w:kern w:val="0"/>
      <w:position w:val="0"/>
      <w:sz w:val="16"/>
      <w:vertAlign w:val="baseline"/>
    </w:rPr>
  </w:style>
  <w:style w:type="character" w:styleId="WW8Num19z0">
    <w:name w:val="WW8Num19z0"/>
    <w:qFormat/>
    <w:rPr>
      <w:rFonts w:ascii="Times New Roman" w:hAnsi="Times New Roman" w:cs="Times New Roman"/>
      <w:b w:val="false"/>
      <w:bCs w:val="false"/>
      <w:i w:val="false"/>
      <w:iCs w:val="false"/>
      <w:sz w:val="16"/>
      <w:szCs w:val="16"/>
    </w:rPr>
  </w:style>
  <w:style w:type="character" w:styleId="WW8Num20z0">
    <w:name w:val="WW8Num20z0"/>
    <w:qFormat/>
    <w:rPr>
      <w:rFonts w:ascii="Times New Roman" w:hAnsi="Times New Roman" w:cs="Times New Roman"/>
      <w:b w:val="false"/>
      <w:bCs w:val="false"/>
      <w:i w:val="false"/>
      <w:iCs w:val="false"/>
      <w:color w:val="000000"/>
      <w:sz w:val="16"/>
      <w:szCs w:val="16"/>
    </w:rPr>
  </w:style>
  <w:style w:type="character" w:styleId="WW8Num20z1">
    <w:name w:val="WW8Num20z1"/>
    <w:qFormat/>
    <w:rPr>
      <w:rFonts w:cs="Times New Roman"/>
    </w:rPr>
  </w:style>
  <w:style w:type="character" w:styleId="WW8Num21z0">
    <w:name w:val="WW8Num21z0"/>
    <w:qFormat/>
    <w:rPr>
      <w:rFonts w:ascii="Times New Roman" w:hAnsi="Times New Roman" w:cs="Times New Roman"/>
      <w:b w:val="false"/>
      <w:bCs w:val="false"/>
      <w:i w:val="false"/>
      <w:iCs w:val="false"/>
      <w:sz w:val="16"/>
      <w:szCs w:val="16"/>
    </w:rPr>
  </w:style>
  <w:style w:type="character" w:styleId="DefaultParagraphFont">
    <w:name w:val="Default Paragraph Font"/>
    <w:qFormat/>
    <w:rPr/>
  </w:style>
  <w:style w:type="character" w:styleId="BodyTextChar">
    <w:name w:val="Body Text Char"/>
    <w:qFormat/>
    <w:rPr>
      <w:spacing w:val="-1"/>
      <w:lang w:val="en-US"/>
    </w:rPr>
  </w:style>
  <w:style w:type="character" w:styleId="HeaderChar">
    <w:name w:val="Header Char"/>
    <w:basedOn w:val="DefaultParagraphFont"/>
    <w:qFormat/>
    <w:rPr/>
  </w:style>
  <w:style w:type="character" w:styleId="FooterChar">
    <w:name w:val="Footer Char"/>
    <w:basedOn w:val="DefaultParagraphFont"/>
    <w:qFormat/>
    <w:rPr/>
  </w:style>
  <w:style w:type="character" w:styleId="Bulletsuser">
    <w:name w:val="Bullets (user)"/>
    <w:qFormat/>
    <w:rPr>
      <w:rFonts w:ascii="OpenSymbol" w:hAnsi="OpenSymbol" w:eastAsia="OpenSymbol" w:cs="OpenSymbol"/>
    </w:rPr>
  </w:style>
  <w:style w:type="character" w:styleId="SourceText">
    <w:name w:val="Source Text"/>
    <w:qFormat/>
    <w:rPr>
      <w:rFonts w:ascii="Liberation Mono" w:hAnsi="Liberation Mono" w:eastAsia="Noto Sans Mono CJK SC" w:cs="Liberation Mono"/>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tabs>
        <w:tab w:val="clear" w:pos="720"/>
        <w:tab w:val="left" w:pos="288" w:leader="none"/>
      </w:tabs>
      <w:spacing w:lineRule="auto" w:line="228" w:before="0" w:after="120"/>
      <w:ind w:firstLine="288" w:left="0" w:right="0"/>
      <w:jc w:val="both"/>
    </w:pPr>
    <w:rPr>
      <w:spacing w:val="-1"/>
      <w:lang w:val="en-US"/>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Abstract">
    <w:name w:val="Abstract"/>
    <w:qFormat/>
    <w:pPr>
      <w:widowControl/>
      <w:suppressAutoHyphens w:val="true"/>
      <w:kinsoku w:val="true"/>
      <w:overflowPunct w:val="true"/>
      <w:autoSpaceDE w:val="true"/>
      <w:bidi w:val="0"/>
      <w:spacing w:before="0" w:after="200"/>
      <w:ind w:firstLine="272" w:left="0" w:right="0"/>
      <w:jc w:val="both"/>
    </w:pPr>
    <w:rPr>
      <w:rFonts w:ascii="Times New Roman" w:hAnsi="Times New Roman" w:eastAsia="SimSun;宋体" w:cs="Times New Roman"/>
      <w:b/>
      <w:bCs/>
      <w:color w:val="auto"/>
      <w:kern w:val="0"/>
      <w:sz w:val="18"/>
      <w:szCs w:val="18"/>
      <w:lang w:val="en-US" w:eastAsia="zh-CN" w:bidi="ar-SA"/>
    </w:rPr>
  </w:style>
  <w:style w:type="paragraph" w:styleId="Affiliation">
    <w:name w:val="Affiliation"/>
    <w:qFormat/>
    <w:pPr>
      <w:widowControl/>
      <w:suppressAutoHyphens w:val="true"/>
      <w:kinsoku w:val="true"/>
      <w:overflowPunct w:val="true"/>
      <w:autoSpaceDE w:val="true"/>
      <w:bidi w:val="0"/>
      <w:spacing w:before="0" w:after="0"/>
      <w:jc w:val="center"/>
    </w:pPr>
    <w:rPr>
      <w:rFonts w:ascii="Times New Roman" w:hAnsi="Times New Roman" w:eastAsia="SimSun;宋体" w:cs="Times New Roman"/>
      <w:color w:val="auto"/>
      <w:kern w:val="0"/>
      <w:sz w:val="20"/>
      <w:szCs w:val="20"/>
      <w:lang w:val="en-US" w:eastAsia="zh-CN" w:bidi="ar-SA"/>
    </w:rPr>
  </w:style>
  <w:style w:type="paragraph" w:styleId="Author">
    <w:name w:val="Author"/>
    <w:qFormat/>
    <w:pPr>
      <w:widowControl/>
      <w:suppressAutoHyphens w:val="true"/>
      <w:kinsoku w:val="true"/>
      <w:overflowPunct w:val="true"/>
      <w:autoSpaceDE w:val="true"/>
      <w:bidi w:val="0"/>
      <w:spacing w:before="360" w:after="40"/>
      <w:jc w:val="center"/>
    </w:pPr>
    <w:rPr>
      <w:rFonts w:ascii="Times New Roman" w:hAnsi="Times New Roman" w:eastAsia="SimSun;宋体" w:cs="Times New Roman"/>
      <w:color w:val="auto"/>
      <w:kern w:val="0"/>
      <w:sz w:val="22"/>
      <w:szCs w:val="22"/>
      <w:lang w:val="en-US" w:eastAsia="en-US" w:bidi="ar-SA"/>
    </w:rPr>
  </w:style>
  <w:style w:type="paragraph" w:styleId="bulletlist">
    <w:name w:val="bullet list"/>
    <w:basedOn w:val="BodyText"/>
    <w:qFormat/>
    <w:pPr>
      <w:numPr>
        <w:ilvl w:val="0"/>
        <w:numId w:val="3"/>
      </w:numPr>
      <w:ind w:hanging="288" w:left="576" w:right="0"/>
    </w:pPr>
    <w:rPr/>
  </w:style>
  <w:style w:type="paragraph" w:styleId="equation">
    <w:name w:val="equation"/>
    <w:basedOn w:val="Normal"/>
    <w:qFormat/>
    <w:pPr>
      <w:tabs>
        <w:tab w:val="clear" w:pos="720"/>
        <w:tab w:val="center" w:pos="2520" w:leader="none"/>
        <w:tab w:val="right" w:pos="5040" w:leader="none"/>
      </w:tabs>
      <w:spacing w:lineRule="auto" w:line="216" w:before="240" w:after="240"/>
    </w:pPr>
    <w:rPr>
      <w:rFonts w:ascii="Symbol" w:hAnsi="Symbol" w:cs="Symbol"/>
    </w:rPr>
  </w:style>
  <w:style w:type="paragraph" w:styleId="figurecaption">
    <w:name w:val="figure caption"/>
    <w:qFormat/>
    <w:pPr>
      <w:widowControl/>
      <w:numPr>
        <w:ilvl w:val="0"/>
        <w:numId w:val="6"/>
      </w:numPr>
      <w:tabs>
        <w:tab w:val="clear" w:pos="720"/>
        <w:tab w:val="left" w:pos="533" w:leader="none"/>
      </w:tabs>
      <w:suppressAutoHyphens w:val="true"/>
      <w:kinsoku w:val="true"/>
      <w:overflowPunct w:val="true"/>
      <w:autoSpaceDE w:val="true"/>
      <w:bidi w:val="0"/>
      <w:spacing w:before="80" w:after="200"/>
      <w:ind w:hanging="0" w:left="0" w:right="0"/>
      <w:jc w:val="both"/>
    </w:pPr>
    <w:rPr>
      <w:rFonts w:ascii="Times New Roman" w:hAnsi="Times New Roman" w:eastAsia="SimSun;宋体" w:cs="Times New Roman"/>
      <w:color w:val="auto"/>
      <w:kern w:val="0"/>
      <w:sz w:val="16"/>
      <w:szCs w:val="16"/>
      <w:lang w:val="en-US" w:eastAsia="en-US" w:bidi="ar-SA"/>
    </w:rPr>
  </w:style>
  <w:style w:type="paragraph" w:styleId="footnote">
    <w:name w:val="footnote"/>
    <w:qFormat/>
    <w:pPr>
      <w:widowControl/>
      <w:numPr>
        <w:ilvl w:val="0"/>
        <w:numId w:val="2"/>
      </w:numPr>
      <w:suppressAutoHyphens w:val="true"/>
      <w:kinsoku w:val="true"/>
      <w:overflowPunct w:val="true"/>
      <w:autoSpaceDE w:val="true"/>
      <w:bidi w:val="0"/>
      <w:spacing w:before="0" w:after="40"/>
      <w:jc w:val="left"/>
    </w:pPr>
    <w:rPr>
      <w:rFonts w:ascii="Times New Roman" w:hAnsi="Times New Roman" w:eastAsia="SimSun;宋体" w:cs="Times New Roman"/>
      <w:color w:val="auto"/>
      <w:kern w:val="0"/>
      <w:sz w:val="16"/>
      <w:szCs w:val="16"/>
      <w:lang w:val="en-US" w:eastAsia="zh-CN" w:bidi="ar-SA"/>
    </w:rPr>
  </w:style>
  <w:style w:type="paragraph" w:styleId="papersubtitle">
    <w:name w:val="paper subtitle"/>
    <w:qFormat/>
    <w:pPr>
      <w:widowControl/>
      <w:suppressAutoHyphens w:val="true"/>
      <w:kinsoku w:val="true"/>
      <w:overflowPunct w:val="true"/>
      <w:autoSpaceDE w:val="true"/>
      <w:bidi w:val="0"/>
      <w:spacing w:before="0" w:after="120"/>
      <w:jc w:val="center"/>
    </w:pPr>
    <w:rPr>
      <w:rFonts w:ascii="Times New Roman" w:hAnsi="Times New Roman" w:eastAsia="MS Mincho;ＭＳ 明朝" w:cs="Times New Roman"/>
      <w:color w:val="auto"/>
      <w:kern w:val="0"/>
      <w:sz w:val="28"/>
      <w:szCs w:val="28"/>
      <w:lang w:val="en-US" w:eastAsia="en-US" w:bidi="ar-SA"/>
    </w:rPr>
  </w:style>
  <w:style w:type="paragraph" w:styleId="papertitle">
    <w:name w:val="paper title"/>
    <w:qFormat/>
    <w:pPr>
      <w:widowControl/>
      <w:suppressAutoHyphens w:val="true"/>
      <w:kinsoku w:val="true"/>
      <w:overflowPunct w:val="true"/>
      <w:autoSpaceDE w:val="true"/>
      <w:bidi w:val="0"/>
      <w:spacing w:before="0" w:after="120"/>
      <w:jc w:val="center"/>
    </w:pPr>
    <w:rPr>
      <w:rFonts w:ascii="Times New Roman" w:hAnsi="Times New Roman" w:eastAsia="MS Mincho;ＭＳ 明朝" w:cs="Times New Roman"/>
      <w:color w:val="auto"/>
      <w:kern w:val="0"/>
      <w:sz w:val="48"/>
      <w:szCs w:val="48"/>
      <w:lang w:val="en-US" w:eastAsia="en-US" w:bidi="ar-SA"/>
    </w:rPr>
  </w:style>
  <w:style w:type="paragraph" w:styleId="references">
    <w:name w:val="references"/>
    <w:qFormat/>
    <w:pPr>
      <w:widowControl/>
      <w:numPr>
        <w:ilvl w:val="0"/>
        <w:numId w:val="5"/>
      </w:numPr>
      <w:suppressAutoHyphens w:val="true"/>
      <w:kinsoku w:val="true"/>
      <w:overflowPunct w:val="true"/>
      <w:autoSpaceDE w:val="true"/>
      <w:bidi w:val="0"/>
      <w:spacing w:lineRule="exact" w:line="180" w:before="0" w:after="50"/>
      <w:jc w:val="both"/>
    </w:pPr>
    <w:rPr>
      <w:rFonts w:ascii="Times New Roman" w:hAnsi="Times New Roman" w:eastAsia="MS Mincho;ＭＳ 明朝" w:cs="Times New Roman"/>
      <w:color w:val="auto"/>
      <w:kern w:val="0"/>
      <w:sz w:val="16"/>
      <w:szCs w:val="16"/>
      <w:lang w:val="en-US" w:eastAsia="en-US" w:bidi="ar-SA"/>
    </w:rPr>
  </w:style>
  <w:style w:type="paragraph" w:styleId="sponsors">
    <w:name w:val="sponsors"/>
    <w:qFormat/>
    <w:pPr>
      <w:widowControl/>
      <w:pBdr>
        <w:top w:val="single" w:sz="4" w:space="2" w:color="000000"/>
      </w:pBdr>
      <w:suppressAutoHyphens w:val="true"/>
      <w:kinsoku w:val="true"/>
      <w:overflowPunct w:val="true"/>
      <w:autoSpaceDE w:val="true"/>
      <w:bidi w:val="0"/>
      <w:spacing w:before="0" w:after="0"/>
      <w:ind w:firstLine="288" w:left="0" w:right="0"/>
      <w:jc w:val="left"/>
    </w:pPr>
    <w:rPr>
      <w:rFonts w:ascii="Times New Roman" w:hAnsi="Times New Roman" w:eastAsia="SimSun;宋体" w:cs="Times New Roman"/>
      <w:color w:val="auto"/>
      <w:kern w:val="0"/>
      <w:sz w:val="16"/>
      <w:szCs w:val="16"/>
      <w:lang w:val="en-US" w:eastAsia="zh-CN" w:bidi="ar-SA"/>
    </w:rPr>
  </w:style>
  <w:style w:type="paragraph" w:styleId="tablecolhead">
    <w:name w:val="table col head"/>
    <w:basedOn w:val="Normal"/>
    <w:qFormat/>
    <w:pPr/>
    <w:rPr>
      <w:b/>
      <w:bCs/>
      <w:sz w:val="16"/>
      <w:szCs w:val="16"/>
    </w:rPr>
  </w:style>
  <w:style w:type="paragraph" w:styleId="tablecolsubhead">
    <w:name w:val="table col subhead"/>
    <w:basedOn w:val="tablecolhead"/>
    <w:qFormat/>
    <w:pPr/>
    <w:rPr>
      <w:i/>
      <w:iCs/>
      <w:sz w:val="15"/>
      <w:szCs w:val="15"/>
    </w:rPr>
  </w:style>
  <w:style w:type="paragraph" w:styleId="tablecopy">
    <w:name w:val="table copy"/>
    <w:qFormat/>
    <w:pPr>
      <w:widowControl/>
      <w:suppressAutoHyphens w:val="true"/>
      <w:kinsoku w:val="true"/>
      <w:overflowPunct w:val="true"/>
      <w:autoSpaceDE w:val="true"/>
      <w:bidi w:val="0"/>
      <w:spacing w:before="0" w:after="0"/>
      <w:jc w:val="both"/>
    </w:pPr>
    <w:rPr>
      <w:rFonts w:ascii="Times New Roman" w:hAnsi="Times New Roman" w:eastAsia="SimSun;宋体" w:cs="Times New Roman"/>
      <w:color w:val="auto"/>
      <w:kern w:val="0"/>
      <w:sz w:val="16"/>
      <w:szCs w:val="16"/>
      <w:lang w:val="en-US" w:eastAsia="en-US" w:bidi="ar-SA"/>
    </w:rPr>
  </w:style>
  <w:style w:type="paragraph" w:styleId="tablefootnote">
    <w:name w:val="table footnote"/>
    <w:qFormat/>
    <w:pPr>
      <w:widowControl/>
      <w:numPr>
        <w:ilvl w:val="0"/>
        <w:numId w:val="4"/>
      </w:numPr>
      <w:suppressAutoHyphens w:val="true"/>
      <w:kinsoku w:val="true"/>
      <w:overflowPunct w:val="true"/>
      <w:autoSpaceDE w:val="true"/>
      <w:bidi w:val="0"/>
      <w:spacing w:before="60" w:after="30"/>
      <w:ind w:hanging="29" w:left="58" w:right="0"/>
      <w:jc w:val="right"/>
    </w:pPr>
    <w:rPr>
      <w:rFonts w:ascii="Times New Roman" w:hAnsi="Times New Roman" w:eastAsia="SimSun;宋体" w:cs="Times New Roman"/>
      <w:color w:val="auto"/>
      <w:kern w:val="0"/>
      <w:sz w:val="12"/>
      <w:szCs w:val="12"/>
      <w:lang w:val="en-US" w:eastAsia="zh-CN" w:bidi="ar-SA"/>
    </w:rPr>
  </w:style>
  <w:style w:type="paragraph" w:styleId="tablehead">
    <w:name w:val="table head"/>
    <w:qFormat/>
    <w:pPr>
      <w:widowControl/>
      <w:numPr>
        <w:ilvl w:val="0"/>
        <w:numId w:val="7"/>
      </w:numPr>
      <w:suppressAutoHyphens w:val="true"/>
      <w:kinsoku w:val="true"/>
      <w:overflowPunct w:val="true"/>
      <w:autoSpaceDE w:val="true"/>
      <w:bidi w:val="0"/>
      <w:spacing w:lineRule="auto" w:line="216" w:before="240" w:after="120"/>
      <w:jc w:val="center"/>
    </w:pPr>
    <w:rPr>
      <w:rFonts w:ascii="Times New Roman" w:hAnsi="Times New Roman" w:eastAsia="SimSun;宋体" w:cs="Times New Roman"/>
      <w:smallCaps/>
      <w:color w:val="auto"/>
      <w:kern w:val="0"/>
      <w:sz w:val="16"/>
      <w:szCs w:val="16"/>
      <w:lang w:val="en-US" w:eastAsia="en-US" w:bidi="ar-SA"/>
    </w:rPr>
  </w:style>
  <w:style w:type="paragraph" w:styleId="Keywords">
    <w:name w:val="Keywords"/>
    <w:basedOn w:val="Abstract"/>
    <w:qFormat/>
    <w:pPr>
      <w:spacing w:before="0" w:after="120"/>
      <w:ind w:firstLine="274" w:left="0" w:right="0"/>
    </w:pPr>
    <w:rPr>
      <w:i/>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Header">
    <w:name w:val="header"/>
    <w:basedOn w:val="Normal"/>
    <w:pPr>
      <w:tabs>
        <w:tab w:val="clear" w:pos="720"/>
        <w:tab w:val="center" w:pos="4680" w:leader="none"/>
        <w:tab w:val="right" w:pos="9360" w:leader="none"/>
      </w:tabs>
    </w:pPr>
    <w:rPr/>
  </w:style>
  <w:style w:type="paragraph" w:styleId="Footer">
    <w:name w:val="footer"/>
    <w:basedOn w:val="Normal"/>
    <w:pPr>
      <w:tabs>
        <w:tab w:val="clear" w:pos="720"/>
        <w:tab w:val="center" w:pos="4680" w:leader="none"/>
        <w:tab w:val="right" w:pos="9360" w:leader="none"/>
      </w:tabs>
    </w:pPr>
    <w:rPr/>
  </w:style>
  <w:style w:type="paragraph" w:styleId="FrameContentsuser">
    <w:name w:val="Frame Contents (user)"/>
    <w:basedOn w:val="Normal"/>
    <w:qFormat/>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Heading10">
    <w:name w:val="Heading 10"/>
    <w:basedOn w:val="Heading"/>
    <w:next w:val="BodyText"/>
    <w:qFormat/>
    <w:pPr>
      <w:spacing w:before="60" w:after="60"/>
      <w:outlineLvl w:val="8"/>
    </w:pPr>
    <w:rPr>
      <w:b/>
      <w:bCs/>
      <w:sz w:val="18"/>
      <w:szCs w:val="18"/>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hyperlink" Target="file:///home/aaronlm/Downloads/paper%20finished%20with%20data/benchmark_data.html" TargetMode="External"/><Relationship Id="rId10" Type="http://schemas.openxmlformats.org/officeDocument/2006/relationships/hyperlink" Target="file:///home/aaronlm/Downloads/paper%20finished%20with%20data/benchmark_data.html#accuracy" TargetMode="Externa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35</TotalTime>
  <Application>LibreOffice/26.2.3.2$Linux_X86_64 LibreOffice_project/7d74455cffae7a589951233f185ae0303c082020</Application>
  <AppVersion>15.0000</AppVersion>
  <Pages>2</Pages>
  <Words>882</Words>
  <Characters>5429</Characters>
  <CharactersWithSpaces>6242</CharactersWithSpaces>
  <Paragraphs>47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2017-07-26T02:59:00Z</dcterms:created>
  <dc:creator>IEEE</dc:creator>
  <dc:description/>
  <dc:language>en-US</dc:language>
  <cp:lastModifiedBy/>
  <dcterms:modified xsi:type="dcterms:W3CDTF">2026-06-04T11:21:22Z</dcterms:modified>
  <cp:revision>13</cp:revision>
  <dc:subject/>
  <dc:title>Paper Title (use style: paper title)</dc:title>
</cp:coreProperties>
</file>

<file path=docProps/custom.xml><?xml version="1.0" encoding="utf-8"?>
<Properties xmlns="http://schemas.openxmlformats.org/officeDocument/2006/custom-properties" xmlns:vt="http://schemas.openxmlformats.org/officeDocument/2006/docPropsVTypes"/>
</file>