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pacing w:val="20"/>
          <w:sz w:val="30"/>
          <w:szCs w:val="30"/>
        </w:rPr>
        <w:t xml:space="preserve">UAV SIMULATOR</w:t>
      </w:r>
    </w:p>
    <w:p>
      <w:pPr>
        <w:spacing w:before="200"/>
        <w:jc w:val="center"/>
      </w:pPr>
      <w:r>
        <w:rPr>
          <w:b/>
          <w:bCs/>
          <w:color w:val="2E5395"/>
          <w:sz w:val="44"/>
          <w:szCs w:val="44"/>
        </w:rPr>
        <w:t xml:space="preserve">PHASE 2 — ADVANCED MULTIPHYSICS</w:t>
      </w:r>
    </w:p>
    <w:p>
      <w:pPr>
        <w:spacing w:before="300"/>
        <w:jc w:val="center"/>
      </w:pPr>
      <w:r>
        <w:rPr>
          <w:b/>
          <w:bCs/>
          <w:color w:val="000000"/>
          <w:sz w:val="34"/>
          <w:szCs w:val="34"/>
        </w:rPr>
        <w:t xml:space="preserve">Automated Tier-2 Pipeline &amp; Supply Chain Addendum</w:t>
      </w:r>
    </w:p>
    <w:p>
      <w:pPr>
        <w:spacing w:before="150"/>
        <w:jc w:val="center"/>
      </w:pPr>
      <w:r>
        <w:rPr>
          <w:i/>
          <w:iCs/>
          <w:color w:val="595959"/>
          <w:sz w:val="22"/>
          <w:szCs w:val="22"/>
        </w:rPr>
        <w:t xml:space="preserve">Addendum to: CI/CD &amp; Reproducible Builds Guide, and the Standards &amp; Safety Classification Framework (Part II).</w:t>
      </w:r>
    </w:p>
    <w:p>
      <w:pPr>
        <w:pBdr>
          <w:top w:val="single" w:color="2E5395" w:sz="6" w:space="8"/>
        </w:pBdr>
        <w:spacing w:before="500"/>
        <w:jc w:val="center"/>
      </w:pPr>
      <w:r>
        <w:rPr>
          <w:color w:val="595959"/>
          <w:sz w:val="22"/>
          <w:szCs w:val="22"/>
        </w:rPr>
        <w:t xml:space="preserve">Fully automated CFD/FEA + model-training runs with live progress and zero manual file handling, plus Python supply-chain locking and the placeholder-constant release gate.</w:t>
      </w:r>
    </w:p>
    <w:p>
      <w:r>
        <w:br w:type="page"/>
      </w:r>
    </w:p>
    <w:p>
      <w:pPr>
        <w:pStyle w:val="Heading1"/>
        <w:pBdr>
          <w:bottom w:val="single" w:color="2E5395" w:sz="6" w:space="4"/>
        </w:pBdr>
        <w:spacing w:after="200" w:before="400"/>
      </w:pPr>
      <w:r>
        <w:rPr>
          <w:b/>
          <w:bCs/>
          <w:color w:val="1F3864"/>
          <w:sz w:val="30"/>
          <w:szCs w:val="30"/>
        </w:rPr>
        <w:t xml:space="preserve">0. What This Document Changes</w:t>
      </w:r>
    </w:p>
    <w:p>
      <w:pPr>
        <w:spacing w:after="160" w:line="300"/>
      </w:pPr>
      <w:r>
        <w:rPr>
          <w:sz w:val="22"/>
          <w:szCs w:val="22"/>
        </w:rPr>
        <w:t xml:space="preserve">Two corrections and two new capabilities, all extending the original CI/CD guide rather than replacing it.</w:t>
      </w:r>
    </w:p>
    <w:p>
      <w:pPr>
        <w:pStyle w:val="ListParagraph"/>
        <w:numPr>
          <w:ilvl w:val="0"/>
          <w:numId w:val="2"/>
        </w:numPr>
        <w:spacing w:after="100" w:line="290"/>
      </w:pPr>
      <w:r>
        <w:rPr>
          <w:b/>
          <w:bCs/>
          <w:sz w:val="22"/>
          <w:szCs w:val="22"/>
        </w:rPr>
        <w:t xml:space="preserve">Hardware correction: </w:t>
      </w:r>
      <w:r>
        <w:rPr>
          <w:sz w:val="22"/>
          <w:szCs w:val="22"/>
        </w:rPr>
        <w:t xml:space="preserve">the GPU laptop is an RTX 4050 with 6GB VRAM, not the 8GB assumed in the original guide. Every case-size and workflow recommendation below is scoped to 6GB. Worth noting: this is the exact ceiling your original Phase 2 CFD guide was already designed around (“fits a useful amount of resolution into our limited 6GB of GPU memory”) — so nothing about the CFD approach itself needs rescoping, only the earlier CI doc's stated assumption did.</w:t>
      </w:r>
    </w:p>
    <w:p>
      <w:pPr>
        <w:pStyle w:val="ListParagraph"/>
        <w:numPr>
          <w:ilvl w:val="0"/>
          <w:numId w:val="2"/>
        </w:numPr>
        <w:spacing w:after="100" w:line="290"/>
      </w:pPr>
      <w:r>
        <w:rPr>
          <w:b/>
          <w:bCs/>
          <w:sz w:val="22"/>
          <w:szCs w:val="22"/>
        </w:rPr>
        <w:t xml:space="preserve">New capability: </w:t>
      </w:r>
      <w:r>
        <w:rPr>
          <w:sz w:val="22"/>
          <w:szCs w:val="22"/>
        </w:rPr>
        <w:t xml:space="preserve">the CFD/FEA and model-training workflows now run start-to-finish with zero manual steps — environment setup, execution, live progress reporting, geometry-hash tagging (per the Standards Framework Part II), correct-folder placement, and upload all happen automatically inside the workflow.</w:t>
      </w:r>
    </w:p>
    <w:p>
      <w:pPr>
        <w:pStyle w:val="ListParagraph"/>
        <w:numPr>
          <w:ilvl w:val="0"/>
          <w:numId w:val="2"/>
        </w:numPr>
        <w:spacing w:after="100" w:line="290"/>
      </w:pPr>
      <w:r>
        <w:rPr>
          <w:b/>
          <w:bCs/>
          <w:sz w:val="22"/>
          <w:szCs w:val="22"/>
        </w:rPr>
        <w:t xml:space="preserve">New capability: </w:t>
      </w:r>
      <w:r>
        <w:rPr>
          <w:sz w:val="22"/>
          <w:szCs w:val="22"/>
        </w:rPr>
        <w:t xml:space="preserve">Python dependency pinning and auditing (closing the Python half of the supply-chain gap the original review flagged — the Rust half was already closed by the original CI/CD guide), and a hard build-time gate that refuses a release build if placeholder physical constants are still present.</w:t>
      </w:r>
    </w:p>
    <w:p>
      <w:pPr>
        <w:pStyle w:val="Heading1"/>
        <w:pBdr>
          <w:bottom w:val="single" w:color="2E5395" w:sz="6" w:space="4"/>
        </w:pBdr>
        <w:spacing w:after="200" w:before="400"/>
      </w:pPr>
      <w:r>
        <w:rPr>
          <w:b/>
          <w:bCs/>
          <w:color w:val="1F3864"/>
          <w:sz w:val="30"/>
          <w:szCs w:val="30"/>
        </w:rPr>
        <w:t xml:space="preserve">1. The Concepts You Need</w:t>
      </w:r>
    </w:p>
    <w:p>
      <w:pPr>
        <w:pStyle w:val="Heading3"/>
        <w:spacing w:after="100" w:before="220"/>
      </w:pPr>
      <w:r>
        <w:rPr>
          <w:b/>
          <w:bCs/>
          <w:color w:val="1F3864"/>
          <w:sz w:val="23"/>
          <w:szCs w:val="23"/>
        </w:rPr>
        <w:t xml:space="preserve">1.1 Live Progress Without a Human Watching the Screen</w:t>
      </w:r>
    </w:p>
    <w:p>
      <w:pPr>
        <w:spacing w:after="160" w:line="300"/>
      </w:pPr>
      <w:r>
        <w:rPr>
          <w:sz w:val="22"/>
          <w:szCs w:val="22"/>
        </w:rPr>
        <w:t xml:space="preserve">GitHub Actions gives every workflow step a special file path, referenced by the environment variable GITHUB_STEP_SUMMARY. Anything written to that file (in Markdown) renders directly in the workflow run's page in GitHub's web UI, updating as the job progresses — no extra tooling, no third-party dashboard, works today on the free tier. Combined with a Python script periodically appending its own progress (“Case 34/150 complete, ETA 6h20m”) to that file, anyone on the team can open the Actions tab from anywhere and see exactly how far a multi-hour CFD sweep has gotten, without needing to remote into the laptop at all.</w:t>
      </w:r>
    </w:p>
    <w:p>
      <w:pPr>
        <w:pStyle w:val="Heading3"/>
        <w:spacing w:after="100" w:before="220"/>
      </w:pPr>
      <w:r>
        <w:rPr>
          <w:b/>
          <w:bCs/>
          <w:color w:val="1F3864"/>
          <w:sz w:val="23"/>
          <w:szCs w:val="23"/>
        </w:rPr>
        <w:t xml:space="preserve">1.2 Why “Automatic Placement” Still Needs a Human Checkpoint</w:t>
      </w:r>
    </w:p>
    <w:p>
      <w:pPr>
        <w:spacing w:after="160" w:line="300"/>
      </w:pPr>
      <w:r>
        <w:rPr>
          <w:sz w:val="22"/>
          <w:szCs w:val="22"/>
        </w:rPr>
        <w:t xml:space="preserve">Fully automating the mechanics (no manual file copying) is different from fully automating the decision (which model actually becomes “the one currently loaded”). Per the Standards Framework's Tier D review policy, a newly trained model changing what a Tier F module effectively believes about the drone's physics should never silently become active without a human looking at it — even though getting the file into the right place with the right name is 100% automatic. The pattern used below (Section 3) is standard practice for exactly this situation: the workflow does all the mechanical work and opens a pull request for the human decision, rather than making the human do any of the mechanical work.</w:t>
      </w:r>
    </w:p>
    <w:p>
      <w:pPr>
        <w:pStyle w:val="Heading3"/>
        <w:spacing w:after="100" w:before="220"/>
      </w:pPr>
      <w:r>
        <w:rPr>
          <w:b/>
          <w:bCs/>
          <w:color w:val="1F3864"/>
          <w:sz w:val="23"/>
          <w:szCs w:val="23"/>
        </w:rPr>
        <w:t xml:space="preserve">1.3 Why Python Needs the Same Discipline Rust Already Got</w:t>
      </w:r>
    </w:p>
    <w:p>
      <w:pPr>
        <w:spacing w:after="160" w:line="300"/>
      </w:pPr>
      <w:r>
        <w:rPr>
          <w:sz w:val="22"/>
          <w:szCs w:val="22"/>
        </w:rPr>
        <w:t xml:space="preserve">The original CI/CD guide locked down the Rust side (pinned toolchain, Cargo.lock, cargo audit, cargo-deny). The training scripts Dev A and Dev B write are Python, pulling from PyPI — a completely separate supply chain with the exact same risks (a compromised or typo-squatted package, an unpinned version silently changing behavior between runs). Section 4 closes this the same way, using Python's equivalent tools.</w:t>
      </w:r>
    </w:p>
    <w:p>
      <w:pPr>
        <w:pStyle w:val="Heading1"/>
        <w:pBdr>
          <w:bottom w:val="single" w:color="2E5395" w:sz="6" w:space="4"/>
        </w:pBdr>
        <w:spacing w:after="200" w:before="400"/>
      </w:pPr>
      <w:r>
        <w:rPr>
          <w:b/>
          <w:bCs/>
          <w:color w:val="1F3864"/>
          <w:sz w:val="30"/>
          <w:szCs w:val="30"/>
        </w:rPr>
        <w:t xml:space="preserve">2. Updated Hardware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rPr>
          <w:tblHeader/>
        </w:trPr>
        <w:tc>
          <w:tcPr>
            <w:tcW w:type="dxa" w:w="1872"/>
            <w:shd w:fill="2E5395" w:val="clear"/>
            <w:tcMar>
              <w:top w:type="dxa" w:w="80"/>
              <w:left w:type="dxa" w:w="120"/>
              <w:bottom w:type="dxa" w:w="80"/>
              <w:right w:type="dxa" w:w="120"/>
            </w:tcMar>
            <w:vAlign w:val="center"/>
          </w:tcPr>
          <w:p>
            <w:r>
              <w:rPr>
                <w:b/>
                <w:bCs/>
                <w:color w:val="FFFFFF"/>
                <w:sz w:val="20"/>
                <w:szCs w:val="20"/>
              </w:rPr>
              <w:t xml:space="preserve">Spec</w:t>
            </w:r>
          </w:p>
        </w:tc>
        <w:tc>
          <w:tcPr>
            <w:tcW w:type="dxa" w:w="2808"/>
            <w:shd w:fill="2E5395" w:val="clear"/>
            <w:tcMar>
              <w:top w:type="dxa" w:w="80"/>
              <w:left w:type="dxa" w:w="120"/>
              <w:bottom w:type="dxa" w:w="80"/>
              <w:right w:type="dxa" w:w="120"/>
            </w:tcMar>
            <w:vAlign w:val="center"/>
          </w:tcPr>
          <w:p>
            <w:r>
              <w:rPr>
                <w:b/>
                <w:bCs/>
                <w:color w:val="FFFFFF"/>
                <w:sz w:val="20"/>
                <w:szCs w:val="20"/>
              </w:rPr>
              <w:t xml:space="preserve">Value</w:t>
            </w:r>
          </w:p>
        </w:tc>
        <w:tc>
          <w:tcPr>
            <w:tcW w:type="dxa" w:w="4680"/>
            <w:shd w:fill="2E5395" w:val="clear"/>
            <w:tcMar>
              <w:top w:type="dxa" w:w="80"/>
              <w:left w:type="dxa" w:w="120"/>
              <w:bottom w:type="dxa" w:w="80"/>
              <w:right w:type="dxa" w:w="120"/>
            </w:tcMar>
            <w:vAlign w:val="center"/>
          </w:tcPr>
          <w:p>
            <w:r>
              <w:rPr>
                <w:b/>
                <w:bCs/>
                <w:color w:val="FFFFFF"/>
                <w:sz w:val="20"/>
                <w:szCs w:val="20"/>
              </w:rPr>
              <w:t xml:space="preserve">Practical Implication</w:t>
            </w:r>
          </w:p>
        </w:tc>
      </w:tr>
      <w:tr>
        <w:tc>
          <w:tcPr>
            <w:tcW w:type="dxa" w:w="1872"/>
            <w:shd w:fill="FFFFFF" w:val="clear"/>
            <w:tcMar>
              <w:top w:type="dxa" w:w="80"/>
              <w:left w:type="dxa" w:w="120"/>
              <w:bottom w:type="dxa" w:w="80"/>
              <w:right w:type="dxa" w:w="120"/>
            </w:tcMar>
            <w:vAlign w:val="center"/>
          </w:tcPr>
          <w:p>
            <w:r>
              <w:rPr>
                <w:b w:val="false"/>
                <w:bCs w:val="false"/>
                <w:color w:val="000000"/>
                <w:sz w:val="20"/>
                <w:szCs w:val="20"/>
              </w:rPr>
              <w:t xml:space="preserve">GPU</w:t>
            </w:r>
          </w:p>
        </w:tc>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NVIDIA RTX 4050 Laptop</w:t>
            </w:r>
          </w:p>
        </w:tc>
        <w:tc>
          <w:tcPr>
            <w:tcW w:type="dxa" w:w="4680"/>
            <w:shd w:fill="FFFFFF" w:val="clear"/>
            <w:tcMar>
              <w:top w:type="dxa" w:w="80"/>
              <w:left w:type="dxa" w:w="120"/>
              <w:bottom w:type="dxa" w:w="80"/>
              <w:right w:type="dxa" w:w="120"/>
            </w:tcMar>
            <w:vAlign w:val="center"/>
          </w:tcPr>
          <w:p>
            <w:r>
              <w:rPr>
                <w:b w:val="false"/>
                <w:bCs w:val="false"/>
                <w:color w:val="000000"/>
                <w:sz w:val="20"/>
                <w:szCs w:val="20"/>
              </w:rPr>
              <w:t xml:space="preserve">Ampere/Ada-class, OpenCL-capable — confirmed compatible with FluidX3D per your Phase 2 CFD guide.</w:t>
            </w:r>
          </w:p>
        </w:tc>
      </w:tr>
      <w:tr>
        <w:tc>
          <w:tcPr>
            <w:tcW w:type="dxa" w:w="1872"/>
            <w:shd w:fill="F5F8FC" w:val="clear"/>
            <w:tcMar>
              <w:top w:type="dxa" w:w="80"/>
              <w:left w:type="dxa" w:w="120"/>
              <w:bottom w:type="dxa" w:w="80"/>
              <w:right w:type="dxa" w:w="120"/>
            </w:tcMar>
            <w:vAlign w:val="center"/>
          </w:tcPr>
          <w:p>
            <w:r>
              <w:rPr>
                <w:sz w:val="20"/>
                <w:szCs w:val="20"/>
              </w:rPr>
              <w:t xml:space="preserve">VRAM</w:t>
            </w:r>
          </w:p>
        </w:tc>
        <w:tc>
          <w:tcPr>
            <w:tcW w:type="dxa" w:w="2808"/>
            <w:shd w:fill="F5F8FC" w:val="clear"/>
            <w:tcMar>
              <w:top w:type="dxa" w:w="80"/>
              <w:left w:type="dxa" w:w="120"/>
              <w:bottom w:type="dxa" w:w="80"/>
              <w:right w:type="dxa" w:w="120"/>
            </w:tcMar>
            <w:vAlign w:val="center"/>
          </w:tcPr>
          <w:p>
            <w:r>
              <w:rPr>
                <w:sz w:val="20"/>
                <w:szCs w:val="20"/>
              </w:rPr>
              <w:t xml:space="preserve">6 GB</w:t>
            </w:r>
          </w:p>
        </w:tc>
        <w:tc>
          <w:tcPr>
            <w:tcW w:type="dxa" w:w="4680"/>
            <w:shd w:fill="F5F8FC" w:val="clear"/>
            <w:tcMar>
              <w:top w:type="dxa" w:w="80"/>
              <w:left w:type="dxa" w:w="120"/>
              <w:bottom w:type="dxa" w:w="80"/>
              <w:right w:type="dxa" w:w="120"/>
            </w:tcMar>
            <w:vAlign w:val="center"/>
          </w:tcPr>
          <w:p>
            <w:r>
              <w:rPr>
                <w:sz w:val="20"/>
                <w:szCs w:val="20"/>
              </w:rPr>
              <w:t xml:space="preserve">Matches the ceiling your CFD approach was already designed around. Use this as the hard case-size ceiling in Task 1 of Part B (CI/CD guide) — FluidX3D will fail to allocate rather than silently misbehave if a case is too large, which is a safe failure mode, but size cases to avoid hitting it routinely.</w:t>
            </w:r>
          </w:p>
        </w:tc>
      </w:tr>
      <w:tr>
        <w:tc>
          <w:tcPr>
            <w:tcW w:type="dxa" w:w="1872"/>
            <w:shd w:fill="FFFFFF" w:val="clear"/>
            <w:tcMar>
              <w:top w:type="dxa" w:w="80"/>
              <w:left w:type="dxa" w:w="120"/>
              <w:bottom w:type="dxa" w:w="80"/>
              <w:right w:type="dxa" w:w="120"/>
            </w:tcMar>
            <w:vAlign w:val="center"/>
          </w:tcPr>
          <w:p>
            <w:r>
              <w:rPr>
                <w:b w:val="false"/>
                <w:bCs w:val="false"/>
                <w:color w:val="000000"/>
                <w:sz w:val="20"/>
                <w:szCs w:val="20"/>
              </w:rPr>
              <w:t xml:space="preserve">System RAM</w:t>
            </w:r>
          </w:p>
        </w:tc>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16 GB (assumed, unless corrected)</w:t>
            </w:r>
          </w:p>
        </w:tc>
        <w:tc>
          <w:tcPr>
            <w:tcW w:type="dxa" w:w="4680"/>
            <w:shd w:fill="FFFFFF" w:val="clear"/>
            <w:tcMar>
              <w:top w:type="dxa" w:w="80"/>
              <w:left w:type="dxa" w:w="120"/>
              <w:bottom w:type="dxa" w:w="80"/>
              <w:right w:type="dxa" w:w="120"/>
            </w:tcMar>
            <w:vAlign w:val="center"/>
          </w:tcPr>
          <w:p>
            <w:r>
              <w:rPr>
                <w:b w:val="false"/>
                <w:bCs w:val="false"/>
                <w:color w:val="000000"/>
                <w:sz w:val="20"/>
                <w:szCs w:val="20"/>
              </w:rPr>
              <w:t xml:space="preserve">Sufficient for UE5 packaging and typical FEA solver runs alongside the CFD workload, as long as they're not scheduled to run simultaneously (Section 3.3 handles this).</w:t>
            </w:r>
          </w:p>
        </w:tc>
      </w:tr>
    </w:tbl>
    <w:p>
      <w:pPr>
        <w:pStyle w:val="Heading1"/>
        <w:pBdr>
          <w:bottom w:val="single" w:color="2E5395" w:sz="6" w:space="4"/>
        </w:pBdr>
        <w:spacing w:after="200" w:before="400"/>
      </w:pPr>
      <w:r>
        <w:rPr>
          <w:b/>
          <w:bCs/>
          <w:color w:val="1F3864"/>
          <w:sz w:val="30"/>
          <w:szCs w:val="30"/>
        </w:rPr>
        <w:t xml:space="preserve">PART A — Fully Automated CFD/FEA &amp; Training Pipeline</w:t>
      </w:r>
    </w:p>
    <w:p>
      <w:pPr>
        <w:pStyle w:val="Heading2"/>
        <w:spacing w:after="150" w:before="300"/>
      </w:pPr>
      <w:r>
        <w:rPr>
          <w:b/>
          <w:bCs/>
          <w:color w:val="2E5395"/>
          <w:sz w:val="26"/>
          <w:szCs w:val="26"/>
        </w:rPr>
        <w:t xml:space="preserve">A.1 What “Zero Manual Steps” Actually Covers</w:t>
      </w:r>
    </w:p>
    <w:p>
      <w:pPr>
        <w:pStyle w:val="ListParagraph"/>
        <w:numPr>
          <w:ilvl w:val="0"/>
          <w:numId w:val="2"/>
        </w:numPr>
        <w:spacing w:after="100" w:line="290"/>
      </w:pPr>
      <w:r>
        <w:rPr>
          <w:sz w:val="22"/>
          <w:szCs w:val="22"/>
        </w:rPr>
        <w:t xml:space="preserve">Setting up the correct, pinned Python environment — automatic, every run, never “whatever's currently installed on the laptop.”</w:t>
      </w:r>
    </w:p>
    <w:p>
      <w:pPr>
        <w:pStyle w:val="ListParagraph"/>
        <w:numPr>
          <w:ilvl w:val="0"/>
          <w:numId w:val="2"/>
        </w:numPr>
        <w:spacing w:after="100" w:line="290"/>
      </w:pPr>
      <w:r>
        <w:rPr>
          <w:sz w:val="22"/>
          <w:szCs w:val="22"/>
        </w:rPr>
        <w:t xml:space="preserve">Running the case sweep or training job — automatic, triggered from GitHub, not started by hand on the laptop.</w:t>
      </w:r>
    </w:p>
    <w:p>
      <w:pPr>
        <w:pStyle w:val="ListParagraph"/>
        <w:numPr>
          <w:ilvl w:val="0"/>
          <w:numId w:val="2"/>
        </w:numPr>
        <w:spacing w:after="100" w:line="290"/>
      </w:pPr>
      <w:r>
        <w:rPr>
          <w:sz w:val="22"/>
          <w:szCs w:val="22"/>
        </w:rPr>
        <w:t xml:space="preserve">Reporting progress — automatic, visible in GitHub's Actions tab from any machine, not just by looking at the laptop's screen.</w:t>
      </w:r>
    </w:p>
    <w:p>
      <w:pPr>
        <w:pStyle w:val="ListParagraph"/>
        <w:numPr>
          <w:ilvl w:val="0"/>
          <w:numId w:val="2"/>
        </w:numPr>
        <w:spacing w:after="100" w:line="290"/>
      </w:pPr>
      <w:r>
        <w:rPr>
          <w:sz w:val="22"/>
          <w:szCs w:val="22"/>
        </w:rPr>
        <w:t xml:space="preserve">Tagging output with geometry hash, design revision, and training provenance (Standards Framework Part II) — automatic, computed by the workflow, never typed in by hand.</w:t>
      </w:r>
    </w:p>
    <w:p>
      <w:pPr>
        <w:pStyle w:val="ListParagraph"/>
        <w:numPr>
          <w:ilvl w:val="0"/>
          <w:numId w:val="2"/>
        </w:numPr>
        <w:spacing w:after="100" w:line="290"/>
      </w:pPr>
      <w:r>
        <w:rPr>
          <w:sz w:val="22"/>
          <w:szCs w:val="22"/>
        </w:rPr>
        <w:t xml:space="preserve">Placing the output file in the correct versioned folder with the correct name — automatic, scripted.</w:t>
      </w:r>
    </w:p>
    <w:p>
      <w:pPr>
        <w:pStyle w:val="ListParagraph"/>
        <w:numPr>
          <w:ilvl w:val="0"/>
          <w:numId w:val="2"/>
        </w:numPr>
        <w:spacing w:after="100" w:line="290"/>
      </w:pPr>
      <w:r>
        <w:rPr>
          <w:sz w:val="22"/>
          <w:szCs w:val="22"/>
        </w:rPr>
        <w:t xml:space="preserve">Getting the result back to the team — automatic: uploaded as a workflow artifact immediately, and (for anything that would change an active model) opened as a review-ready pull request.</w:t>
      </w:r>
    </w:p>
    <w:p>
      <w:pPr>
        <w:pBdr>
          <w:left w:val="single" w:color="2E5395" w:sz="18" w:space="8"/>
        </w:pBdr>
        <w:shd w:fill="EAF0F8" w:val="clear"/>
        <w:spacing w:after="200" w:before="100"/>
        <w:ind w:left="100"/>
      </w:pPr>
      <w:r>
        <w:rPr>
          <w:i/>
          <w:iCs/>
          <w:color w:val="1F1F1F"/>
          <w:sz w:val="21"/>
          <w:szCs w:val="21"/>
        </w:rPr>
        <w:t xml:space="preserve">What stays manual, deliberately: approving the pull request that makes a newly trained model “active.” That's Section 1.2's human checkpoint, not an oversight.</w:t>
      </w:r>
    </w:p>
    <w:p>
      <w:pPr>
        <w:pStyle w:val="Heading2"/>
        <w:spacing w:after="150" w:before="300"/>
      </w:pPr>
      <w:r>
        <w:rPr>
          <w:b/>
          <w:bCs/>
          <w:color w:val="2E5395"/>
          <w:sz w:val="26"/>
          <w:szCs w:val="26"/>
        </w:rPr>
        <w:t xml:space="preserve">A.2 Updated CFD/FEA Case-Run Workflow</w:t>
      </w:r>
    </w:p>
    <w:p>
      <w:pPr>
        <w:pStyle w:val="ListParagraph"/>
        <w:numPr>
          <w:ilvl w:val="0"/>
          <w:numId w:val="3"/>
        </w:numPr>
        <w:spacing w:after="130" w:line="290"/>
      </w:pPr>
      <w:r>
        <w:rPr>
          <w:sz w:val="22"/>
          <w:szCs w:val="22"/>
        </w:rPr>
        <w:t xml:space="preserve">Replace the earlier cfd-fea-run.yml with the version below — it adds a pinned Python environment step, a live-progress step, and an automatic tagging/placement step that the earlier version left manual.</w:t>
      </w:r>
    </w:p>
    <w:p>
      <w:pPr>
        <w:spacing w:after="0" w:before="160"/>
      </w:pPr>
      <w:r>
        <w:rPr>
          <w:rFonts w:ascii="Consolas" w:cs="Consolas" w:eastAsia="Consolas" w:hAnsi="Consolas"/>
          <w:b/>
          <w:bCs/>
          <w:color w:val="444444"/>
          <w:sz w:val="19"/>
          <w:szCs w:val="19"/>
        </w:rPr>
        <w:t xml:space="preserve">.github/workflows/cfd-fea-run.yml</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name: CFD / FEA Case Run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on: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workflow_dispatch: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inputs: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case_set: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description: 'Case set to run (uiuc-validation, bootstrap, active-learning, single-test)'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required: true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default: 'single-test'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jobs: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run-cases: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name: Run CFD/FEA Cases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runs-on: [self-hosted, windows, gpu-laptop]</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timeout-minutes: 480</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steps: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uses: actions/checkout@v4</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Set up pinned Python environment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shell: powershell</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python -m venv .venv</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.venv\Scripts\pip install --require-hashes -r offline_pipeline/requirements.txt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Run case set with live progress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shell: powershell</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.venv\Scripts\python offline_pipeline/cfd/run_case.py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--set ${{ github.event.inputs.case_set }}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--progress-file $env:GITHUB_STEP_SUMMARY</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Tag and place results (no manual step)</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shell: powershell</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.venv\Scripts\python offline_pipeline/tag_and_place.py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--input offline_pipeline/cfd/results/raw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--output offline_pipeline/cfd/results/tagged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--geometry-hash-source offline_pipeline/geometry/current_geometry.json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Upload tagged results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uses: actions/upload-artifact@v4</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with: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name: cfd-fea-results-${{ github.run_id }}</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path: offline_pipeline/cfd/results/tagged/</w:t>
      </w:r>
    </w:p>
    <w:p>
      <w:pPr>
        <w:spacing w:after="200"/>
      </w:pPr>
    </w:p>
    <w:p>
      <w:pPr>
        <w:pStyle w:val="ListParagraph"/>
        <w:numPr>
          <w:ilvl w:val="0"/>
          <w:numId w:val="3"/>
        </w:numPr>
        <w:spacing w:after="130" w:line="290"/>
      </w:pPr>
      <w:r>
        <w:rPr>
          <w:sz w:val="22"/>
          <w:szCs w:val="22"/>
        </w:rPr>
        <w:t xml:space="preserve">Write offline_pipeline/tag_and_place.py once — it computes the SHA-256 of the canonical geometry file, reads the current design revision, stamps both plus a UTC timestamp and the workflow's own git SHA onto every result file's filename and internal metadata, and moves it into a results/tagged/ folder with a consistent naming scheme (for example, airframe_sweep_&lt;geohash8&gt;_&lt;rev&gt;_&lt;YYYYMMDD&gt;.csv) — this single script is what eliminates manual copy-pasting for good.</w:t>
      </w:r>
    </w:p>
    <w:p>
      <w:pPr>
        <w:pStyle w:val="Heading2"/>
        <w:spacing w:after="150" w:before="300"/>
      </w:pPr>
      <w:r>
        <w:rPr>
          <w:b/>
          <w:bCs/>
          <w:color w:val="2E5395"/>
          <w:sz w:val="26"/>
          <w:szCs w:val="26"/>
        </w:rPr>
        <w:t xml:space="preserve">A.3 New Workflow: Automated Surrogate Training</w:t>
      </w:r>
    </w:p>
    <w:p>
      <w:pPr>
        <w:pStyle w:val="ListParagraph"/>
        <w:numPr>
          <w:ilvl w:val="0"/>
          <w:numId w:val="3"/>
        </w:numPr>
        <w:spacing w:after="130" w:line="290"/>
      </w:pPr>
      <w:r>
        <w:rPr>
          <w:sz w:val="22"/>
          <w:szCs w:val="22"/>
        </w:rPr>
        <w:t xml:space="preserve">Create .github/workflows/train-surrogate.yml. It pulls the latest tagged case dataset, retrains the GPR surrogate, reports progress the same way, embeds the required ONNX provenance metadata from Standards Framework Part II automatically, and opens a pull request rather than merging directly.</w:t>
      </w:r>
    </w:p>
    <w:p>
      <w:pPr>
        <w:spacing w:after="0" w:before="160"/>
      </w:pPr>
      <w:r>
        <w:rPr>
          <w:rFonts w:ascii="Consolas" w:cs="Consolas" w:eastAsia="Consolas" w:hAnsi="Consolas"/>
          <w:b/>
          <w:bCs/>
          <w:color w:val="444444"/>
          <w:sz w:val="19"/>
          <w:szCs w:val="19"/>
        </w:rPr>
        <w:t xml:space="preserve">.github/workflows/train-surrogate.yml</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name: Train Surrogate Model</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on: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workflow_dispatch: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inputs: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subsystem:</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description: 'Which surrogate to (re)train: aero or structural'</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required: true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default: 'aero'</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jobs: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train: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name: Train and Package Surrogate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runs-on: [self-hosted, windows, gpu-laptop]</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timeout-minutes: 240</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steps: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uses: actions/checkout@v4</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Set up pinned Python environment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shell: powershell</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python -m venv .venv</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.venv\Scripts\pip install --require-hashes -r offline_pipeline/requirements.txt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Train with live progress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shell: powershell</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.venv\Scripts\python offline_pipeline/surrogate_training/train.py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--subsystem ${{ github.event.inputs.subsystem }}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--progress-file $env:GITHUB_STEP_SUMMARY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--embed-provenance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--geometry-hash-source offline_pipeline/geometry/current_geometry.json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--output-dir offline_pipeline/trained_models/${{ github.event.inputs.subsystem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Upload trained model artifact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uses: actions/upload-artifact@v4</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with: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name: surrogate-${{ github.event.inputs.subsystem }}-${{ github.run_id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path: offline_pipeline/trained_models/${{ github.event.inputs.subsystem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Open PR to promote as active model</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uses: peter-evans/create-pull-request@v6</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with: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commit-message: "Retrain ${{ github.event.inputs.subsystem }} surrogate"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branch: retrain/${{ github.event.inputs.subsystem }}-${{ github.run_id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title: "[Review Required] New ${{ github.event.inputs.subsystem }} surrogate ready"</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body: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Automatically trained and tagged. Held-out validation error and</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envelope coverage are in the attached workflow artifact.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This does NOT become the active model until this PR is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reviewed and merged, per the Standards Framework Tier D policy.</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add-paths: |</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offline_pipeline/trained_models/${{ github.event.inputs.subsystem }}/active_model.json</w:t>
      </w:r>
    </w:p>
    <w:p>
      <w:pPr>
        <w:spacing w:after="200"/>
      </w:pPr>
    </w:p>
    <w:p>
      <w:pPr>
        <w:pStyle w:val="ListParagraph"/>
        <w:numPr>
          <w:ilvl w:val="0"/>
          <w:numId w:val="3"/>
        </w:numPr>
        <w:spacing w:after="130" w:line="290"/>
      </w:pPr>
      <w:r>
        <w:rPr>
          <w:sz w:val="22"/>
          <w:szCs w:val="22"/>
        </w:rPr>
        <w:t xml:space="preserve">active_model.json is a small, human-readable pointer file (subsystem name, model filename, geometry hash, validation error) — not the model binary itself. This is what actually changes when the PR merges; the (potentially large) .onnx file itself stays in the workflow artifact and/or a model storage location of your choosing, keeping the git repository itself small.</w:t>
      </w:r>
    </w:p>
    <w:p>
      <w:pPr>
        <w:pStyle w:val="ListParagraph"/>
        <w:numPr>
          <w:ilvl w:val="0"/>
          <w:numId w:val="3"/>
        </w:numPr>
        <w:spacing w:after="130" w:line="290"/>
      </w:pPr>
      <w:r>
        <w:rPr>
          <w:sz w:val="22"/>
          <w:szCs w:val="22"/>
        </w:rPr>
        <w:t xml:space="preserve">The Rust-side surrogate loader (Standards Framework Part II) reads whichever model active_model.json currently points to — so “which model is active” always has exactly one, git-tracked, reviewed source of truth.</w:t>
      </w:r>
    </w:p>
    <w:p>
      <w:pPr>
        <w:pStyle w:val="Heading2"/>
        <w:spacing w:after="150" w:before="300"/>
      </w:pPr>
      <w:r>
        <w:rPr>
          <w:b/>
          <w:bCs/>
          <w:color w:val="2E5395"/>
          <w:sz w:val="26"/>
          <w:szCs w:val="26"/>
        </w:rPr>
        <w:t xml:space="preserve">A.4 Keeping Heavy Jobs From Colliding on One Laptop</w:t>
      </w:r>
    </w:p>
    <w:p>
      <w:pPr>
        <w:pStyle w:val="ListParagraph"/>
        <w:numPr>
          <w:ilvl w:val="0"/>
          <w:numId w:val="3"/>
        </w:numPr>
        <w:spacing w:after="130" w:line="290"/>
      </w:pPr>
      <w:r>
        <w:rPr>
          <w:sz w:val="22"/>
          <w:szCs w:val="22"/>
        </w:rPr>
        <w:t xml:space="preserve">Add a concurrency group to both workflows so a training run and a case-sweep run can't accidentally execute on the laptop at the same time and starve each other's VRAM.</w:t>
      </w:r>
    </w:p>
    <w:p>
      <w:pPr>
        <w:spacing w:after="0" w:before="160"/>
      </w:pPr>
      <w:r>
        <w:rPr>
          <w:rFonts w:ascii="Consolas" w:cs="Consolas" w:eastAsia="Consolas" w:hAnsi="Consolas"/>
          <w:b/>
          <w:bCs/>
          <w:color w:val="444444"/>
          <w:sz w:val="19"/>
          <w:szCs w:val="19"/>
        </w:rPr>
        <w:t xml:space="preserve">Add near the top of each Tier 2 workflow file</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concurrency:</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group: gpu-laptop-exclusive</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cancel-in-progress: false   # queue, don't kill an in-progress run</w:t>
      </w:r>
    </w:p>
    <w:p>
      <w:pPr>
        <w:spacing w:after="200"/>
      </w:pPr>
    </w:p>
    <w:p>
      <w:pPr>
        <w:pStyle w:val="Heading1"/>
        <w:pBdr>
          <w:bottom w:val="single" w:color="2E5395" w:sz="6" w:space="4"/>
        </w:pBdr>
        <w:spacing w:after="200" w:before="400"/>
      </w:pPr>
      <w:r>
        <w:rPr>
          <w:b/>
          <w:bCs/>
          <w:color w:val="1F3864"/>
          <w:sz w:val="30"/>
          <w:szCs w:val="30"/>
        </w:rPr>
        <w:t xml:space="preserve">PART B — Python Supply-Chain Lockdown</w:t>
      </w:r>
    </w:p>
    <w:p>
      <w:pPr>
        <w:pStyle w:val="Heading2"/>
        <w:spacing w:after="150" w:before="300"/>
      </w:pPr>
      <w:r>
        <w:rPr>
          <w:b/>
          <w:bCs/>
          <w:color w:val="2E5395"/>
          <w:sz w:val="26"/>
          <w:szCs w:val="26"/>
        </w:rPr>
        <w:t xml:space="preserve">B.1 Pin and Hash-Lock Every Python Dependency</w:t>
      </w:r>
    </w:p>
    <w:p>
      <w:pPr>
        <w:pStyle w:val="ListParagraph"/>
        <w:numPr>
          <w:ilvl w:val="0"/>
          <w:numId w:val="3"/>
        </w:numPr>
        <w:spacing w:after="130" w:line="290"/>
      </w:pPr>
      <w:r>
        <w:rPr>
          <w:sz w:val="22"/>
          <w:szCs w:val="22"/>
        </w:rPr>
        <w:t xml:space="preserve">Install pip-tools locally once: pip install pip-tools.</w:t>
      </w:r>
    </w:p>
    <w:p>
      <w:pPr>
        <w:pStyle w:val="ListParagraph"/>
        <w:numPr>
          <w:ilvl w:val="0"/>
          <w:numId w:val="3"/>
        </w:numPr>
        <w:spacing w:after="130" w:line="290"/>
      </w:pPr>
      <w:r>
        <w:rPr>
          <w:sz w:val="22"/>
          <w:szCs w:val="22"/>
        </w:rPr>
        <w:t xml:space="preserve">Write a plain, unpinned offline_pipeline/requirements.in listing only the direct packages actually needed (for example: scikit-learn, numpy, onnx, tqdm).</w:t>
      </w:r>
    </w:p>
    <w:p>
      <w:pPr>
        <w:pStyle w:val="ListParagraph"/>
        <w:numPr>
          <w:ilvl w:val="0"/>
          <w:numId w:val="3"/>
        </w:numPr>
        <w:spacing w:after="130" w:line="290"/>
      </w:pPr>
      <w:r>
        <w:rPr>
          <w:sz w:val="22"/>
          <w:szCs w:val="22"/>
        </w:rPr>
        <w:t xml:space="preserve">Generate a fully pinned, hash-locked requirements.txt from it: pip-compile --generate-hashes offline_pipeline/requirements.in. Commit both files.</w:t>
      </w:r>
    </w:p>
    <w:p>
      <w:pPr>
        <w:spacing w:after="0" w:before="160"/>
      </w:pPr>
      <w:r>
        <w:rPr>
          <w:rFonts w:ascii="Consolas" w:cs="Consolas" w:eastAsia="Consolas" w:hAnsi="Consolas"/>
          <w:b/>
          <w:bCs/>
          <w:color w:val="444444"/>
          <w:sz w:val="19"/>
          <w:szCs w:val="19"/>
        </w:rPr>
        <w:t xml:space="preserve">offline_pipeline/requirements.in (example, direct deps only)</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scikit-learn&gt;=1.4,&lt;2.0</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numpy&gt;=1.26,&lt;2.0</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onnx&gt;=1.16,&lt;2.0</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tqdm&gt;=4.66,&lt;5.0</w:t>
      </w:r>
    </w:p>
    <w:p>
      <w:pPr>
        <w:spacing w:after="200"/>
      </w:pPr>
    </w:p>
    <w:p>
      <w:pPr>
        <w:pStyle w:val="ListParagraph"/>
        <w:numPr>
          <w:ilvl w:val="0"/>
          <w:numId w:val="3"/>
        </w:numPr>
        <w:spacing w:after="130" w:line="290"/>
      </w:pPr>
      <w:r>
        <w:rPr>
          <w:sz w:val="22"/>
          <w:szCs w:val="22"/>
        </w:rPr>
        <w:t xml:space="preserve">From this point on, every install everywhere — your machine, a teammate's, or the runner — uses pip install --require-hashes -r requirements.txt (already wired into both workflows in Part A), which refuses to install anything whose downloaded file doesn't match the exact hash recorded when it was pinned. This is the Python equivalent of Rust's Cargo.lock, and it specifically defeats a compromised-package-with-the-same-version-number attack, not just an accidental version drift.</w:t>
      </w:r>
    </w:p>
    <w:p>
      <w:pPr>
        <w:pStyle w:val="Heading2"/>
        <w:spacing w:after="150" w:before="300"/>
      </w:pPr>
      <w:r>
        <w:rPr>
          <w:b/>
          <w:bCs/>
          <w:color w:val="2E5395"/>
          <w:sz w:val="26"/>
          <w:szCs w:val="26"/>
        </w:rPr>
        <w:t xml:space="preserve">B.2 Add a Python Audit Workflow, Mirroring the Rust One</w:t>
      </w:r>
    </w:p>
    <w:p>
      <w:pPr>
        <w:spacing w:after="0" w:before="160"/>
      </w:pPr>
      <w:r>
        <w:rPr>
          <w:rFonts w:ascii="Consolas" w:cs="Consolas" w:eastAsia="Consolas" w:hAnsi="Consolas"/>
          <w:b/>
          <w:bCs/>
          <w:color w:val="444444"/>
          <w:sz w:val="19"/>
          <w:szCs w:val="19"/>
        </w:rPr>
        <w:t xml:space="preserve">.github/workflows/python-audit.yml</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name: Python Dependency Audit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on: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push: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paths: ['offline_pipeline/requirements.txt']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schedule: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cron: '0 6 * * 1'</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jobs: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audit: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runs-on: ubuntu-latest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steps: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uses: actions/checkout@v4</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uses: actions/setup-python@v5</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with: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python-version: '3.11'</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Install pip-audit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pip install pip-audit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Audit</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pip-audit -r offline_pipeline/requirements.txt</w:t>
      </w:r>
    </w:p>
    <w:p>
      <w:pPr>
        <w:spacing w:after="200"/>
      </w:pPr>
    </w:p>
    <w:p>
      <w:pPr>
        <w:pStyle w:val="ListParagraph"/>
        <w:numPr>
          <w:ilvl w:val="0"/>
          <w:numId w:val="3"/>
        </w:numPr>
        <w:spacing w:after="130" w:line="290"/>
      </w:pPr>
      <w:r>
        <w:rPr>
          <w:sz w:val="22"/>
          <w:szCs w:val="22"/>
        </w:rPr>
        <w:t xml:space="preserve">This job runs on a free GitHub-hosted runner, not the laptop — it only needs to read the requirements file, not run any CFD/training code, so there's no reason to burden Tier 2 hardware with it.</w:t>
      </w:r>
    </w:p>
    <w:p>
      <w:pPr>
        <w:pStyle w:val="Heading1"/>
        <w:pBdr>
          <w:bottom w:val="single" w:color="2E5395" w:sz="6" w:space="4"/>
        </w:pBdr>
        <w:spacing w:after="200" w:before="400"/>
      </w:pPr>
      <w:r>
        <w:rPr>
          <w:b/>
          <w:bCs/>
          <w:color w:val="1F3864"/>
          <w:sz w:val="30"/>
          <w:szCs w:val="30"/>
        </w:rPr>
        <w:t xml:space="preserve">PART C — The Placeholder-Constant Release Gate</w:t>
      </w:r>
    </w:p>
    <w:p>
      <w:pPr>
        <w:pStyle w:val="Heading2"/>
        <w:spacing w:after="150" w:before="300"/>
      </w:pPr>
      <w:r>
        <w:rPr>
          <w:b/>
          <w:bCs/>
          <w:color w:val="2E5395"/>
          <w:sz w:val="26"/>
          <w:szCs w:val="26"/>
        </w:rPr>
        <w:t xml:space="preserve">C.1 The Convention</w:t>
      </w:r>
    </w:p>
    <w:p>
      <w:pPr>
        <w:spacing w:after="160" w:line="300"/>
      </w:pPr>
      <w:r>
        <w:rPr>
          <w:sz w:val="22"/>
          <w:szCs w:val="22"/>
        </w:rPr>
        <w:t xml:space="preserve">Every placeholder physical constant across the project (Dev B's drag coefficients, Dev C's reaction-torque coefficient, Dev A's material properties) is already, correctly, commented as a placeholder in the existing guides. The only missing piece is something that actually enforces it can't reach a release build silently. The fix is a single, consistent marker, checked by a script.</w:t>
      </w:r>
    </w:p>
    <w:p>
      <w:pPr>
        <w:spacing w:after="0" w:before="160"/>
      </w:pPr>
      <w:r>
        <w:rPr>
          <w:rFonts w:ascii="Consolas" w:cs="Consolas" w:eastAsia="Consolas" w:hAnsi="Consolas"/>
          <w:b/>
          <w:bCs/>
          <w:color w:val="444444"/>
          <w:sz w:val="19"/>
          <w:szCs w:val="19"/>
        </w:rPr>
        <w:t xml:space="preserve">Convention: every placeholder constant is marked exactly like this</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PLACEHOLDER: reaction torque coefficient — not measured from real</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hardware yet. See Dev C Phase 1 guide, Task 3.</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const REACTION_TORQUE_COEFF: f32 = 0.02;</w:t>
      </w:r>
    </w:p>
    <w:p>
      <w:pPr>
        <w:spacing w:after="200"/>
      </w:pPr>
    </w:p>
    <w:p>
      <w:pPr>
        <w:pStyle w:val="Heading2"/>
        <w:spacing w:after="150" w:before="300"/>
      </w:pPr>
      <w:r>
        <w:rPr>
          <w:b/>
          <w:bCs/>
          <w:color w:val="2E5395"/>
          <w:sz w:val="26"/>
          <w:szCs w:val="26"/>
        </w:rPr>
        <w:t xml:space="preserve">C.2 The Gate</w:t>
      </w:r>
    </w:p>
    <w:p>
      <w:pPr>
        <w:pStyle w:val="ListParagraph"/>
        <w:numPr>
          <w:ilvl w:val="0"/>
          <w:numId w:val="3"/>
        </w:numPr>
        <w:spacing w:after="130" w:line="290"/>
      </w:pPr>
      <w:r>
        <w:rPr>
          <w:sz w:val="22"/>
          <w:szCs w:val="22"/>
        </w:rPr>
        <w:t xml:space="preserve">Write a small script, scripts/check_placeholders.py, that scans physics_core/src/**/*.rs for the literal string “PLACEHOLDER:” and exits non-zero (failing) if the build profile being checked is a release-candidate build and any are found.</w:t>
      </w:r>
    </w:p>
    <w:p>
      <w:pPr>
        <w:spacing w:after="0" w:before="160"/>
      </w:pPr>
      <w:r>
        <w:rPr>
          <w:rFonts w:ascii="Consolas" w:cs="Consolas" w:eastAsia="Consolas" w:hAnsi="Consolas"/>
          <w:b/>
          <w:bCs/>
          <w:color w:val="444444"/>
          <w:sz w:val="19"/>
          <w:szCs w:val="19"/>
        </w:rPr>
        <w:t xml:space="preserve">.github/workflows/placeholder-gate.yml</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name: Placeholder Constant Gate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on: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pull_request: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branches: [release-candidate]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jobs: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check:</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runs-on: ubuntu-latest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steps: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uses: actions/checkout@v4</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Fail if placeholder constants remain</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python scripts/check_placeholders.py --path physics_core/src --fail-on-match</w:t>
      </w:r>
    </w:p>
    <w:p>
      <w:pPr>
        <w:spacing w:after="200"/>
      </w:pPr>
    </w:p>
    <w:p>
      <w:pPr>
        <w:pStyle w:val="ListParagraph"/>
        <w:numPr>
          <w:ilvl w:val="0"/>
          <w:numId w:val="3"/>
        </w:numPr>
        <w:spacing w:after="130" w:line="290"/>
      </w:pPr>
      <w:r>
        <w:rPr>
          <w:sz w:val="22"/>
          <w:szCs w:val="22"/>
        </w:rPr>
        <w:t xml:space="preserve">Scope this check to a release-candidate branch specifically (not every ordinary dev push) — placeholders are expected and fine during normal Phase 1/2 development; the gate exists to stop them from reaching whatever branch is actually treated as “ready for real testing,” not to block everyday work.</w:t>
      </w:r>
    </w:p>
    <w:p>
      <w:pPr>
        <w:pStyle w:val="ListParagraph"/>
        <w:numPr>
          <w:ilvl w:val="0"/>
          <w:numId w:val="3"/>
        </w:numPr>
        <w:spacing w:after="130" w:line="290"/>
      </w:pPr>
      <w:r>
        <w:rPr>
          <w:sz w:val="22"/>
          <w:szCs w:val="22"/>
        </w:rPr>
        <w:t xml:space="preserve">Add this check to branch protection on release-candidate the same way the original CI/CD guide's Task 6 added the Rust build/test checks to main.</w:t>
      </w:r>
    </w:p>
    <w:p>
      <w:pPr>
        <w:pStyle w:val="Heading1"/>
        <w:pBdr>
          <w:bottom w:val="single" w:color="2E5395" w:sz="6" w:space="4"/>
        </w:pBdr>
        <w:spacing w:after="200" w:before="400"/>
      </w:pPr>
      <w:r>
        <w:rPr>
          <w:b/>
          <w:bCs/>
          <w:color w:val="1F3864"/>
          <w:sz w:val="30"/>
          <w:szCs w:val="30"/>
        </w:rPr>
        <w:t xml:space="preserve">4. Quick Reference — Full Task Checklist</w:t>
      </w:r>
    </w:p>
    <w:p>
      <w:pPr>
        <w:pStyle w:val="ListParagraph"/>
        <w:numPr>
          <w:ilvl w:val="0"/>
          <w:numId w:val="2"/>
        </w:numPr>
        <w:spacing w:after="100" w:line="290"/>
      </w:pPr>
      <w:r>
        <w:rPr>
          <w:sz w:val="22"/>
          <w:szCs w:val="22"/>
        </w:rPr>
        <w:t xml:space="preserve">Hardware reference corrected to RTX 4050 / 6GB VRAM across all Tier 2 planning</w:t>
      </w:r>
    </w:p>
    <w:p>
      <w:pPr>
        <w:pStyle w:val="ListParagraph"/>
        <w:numPr>
          <w:ilvl w:val="0"/>
          <w:numId w:val="2"/>
        </w:numPr>
        <w:spacing w:after="100" w:line="290"/>
      </w:pPr>
      <w:r>
        <w:rPr>
          <w:sz w:val="22"/>
          <w:szCs w:val="22"/>
        </w:rPr>
        <w:t xml:space="preserve">Part A — cfd-fea-run.yml updated with pinned env, live progress, automatic tag-and-place, no manual copying</w:t>
      </w:r>
    </w:p>
    <w:p>
      <w:pPr>
        <w:pStyle w:val="ListParagraph"/>
        <w:numPr>
          <w:ilvl w:val="0"/>
          <w:numId w:val="2"/>
        </w:numPr>
        <w:spacing w:after="100" w:line="290"/>
      </w:pPr>
      <w:r>
        <w:rPr>
          <w:sz w:val="22"/>
          <w:szCs w:val="22"/>
        </w:rPr>
        <w:t xml:space="preserve">Part A — train-surrogate.yml created: automatic training, provenance embedding, artifact upload, review-gated PR via active_model.json</w:t>
      </w:r>
    </w:p>
    <w:p>
      <w:pPr>
        <w:pStyle w:val="ListParagraph"/>
        <w:numPr>
          <w:ilvl w:val="0"/>
          <w:numId w:val="2"/>
        </w:numPr>
        <w:spacing w:after="100" w:line="290"/>
      </w:pPr>
      <w:r>
        <w:rPr>
          <w:sz w:val="22"/>
          <w:szCs w:val="22"/>
        </w:rPr>
        <w:t xml:space="preserve">Part A — concurrency group added so Tier 2 jobs queue instead of colliding on the laptop's VRAM</w:t>
      </w:r>
    </w:p>
    <w:p>
      <w:pPr>
        <w:pStyle w:val="ListParagraph"/>
        <w:numPr>
          <w:ilvl w:val="0"/>
          <w:numId w:val="2"/>
        </w:numPr>
        <w:spacing w:after="100" w:line="290"/>
      </w:pPr>
      <w:r>
        <w:rPr>
          <w:sz w:val="22"/>
          <w:szCs w:val="22"/>
        </w:rPr>
        <w:t xml:space="preserve">Part B — requirements.in / requirements.txt (hash-locked) committed; every install uses --require-hashes</w:t>
      </w:r>
    </w:p>
    <w:p>
      <w:pPr>
        <w:pStyle w:val="ListParagraph"/>
        <w:numPr>
          <w:ilvl w:val="0"/>
          <w:numId w:val="2"/>
        </w:numPr>
        <w:spacing w:after="100" w:line="290"/>
      </w:pPr>
      <w:r>
        <w:rPr>
          <w:sz w:val="22"/>
          <w:szCs w:val="22"/>
        </w:rPr>
        <w:t xml:space="preserve">Part B — python-audit.yml running on a free hosted runner, checking for known-vulnerable Python packages</w:t>
      </w:r>
    </w:p>
    <w:p>
      <w:pPr>
        <w:pStyle w:val="ListParagraph"/>
        <w:numPr>
          <w:ilvl w:val="0"/>
          <w:numId w:val="2"/>
        </w:numPr>
        <w:spacing w:after="100" w:line="290"/>
      </w:pPr>
      <w:r>
        <w:rPr>
          <w:sz w:val="22"/>
          <w:szCs w:val="22"/>
        </w:rPr>
        <w:t xml:space="preserve">Part C — PLACEHOLDER: marker convention adopted across all existing placeholder constants</w:t>
      </w:r>
    </w:p>
    <w:p>
      <w:pPr>
        <w:pStyle w:val="ListParagraph"/>
        <w:numPr>
          <w:ilvl w:val="0"/>
          <w:numId w:val="2"/>
        </w:numPr>
        <w:spacing w:after="100" w:line="290"/>
      </w:pPr>
      <w:r>
        <w:rPr>
          <w:sz w:val="22"/>
          <w:szCs w:val="22"/>
        </w:rPr>
        <w:t xml:space="preserve">Part C — placeholder-gate.yml enforced on the release-candidate branch via branch protection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2026-08-06T07:52:07.737Z</dcterms:created>
  <dcterms:modified xsi:type="dcterms:W3CDTF">2026-08-06T07:52:07.738Z</dcterms:modified>
</cp:coreProperties>
</file>

<file path=docProps/custom.xml><?xml version="1.0" encoding="utf-8"?>
<Properties xmlns="http://schemas.openxmlformats.org/officeDocument/2006/custom-properties" xmlns:vt="http://schemas.openxmlformats.org/officeDocument/2006/docPropsVTypes"/>
</file>