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Code Commenting Standards</w:t>
      </w:r>
    </w:p>
    <w:p>
      <w:pPr>
        <w:spacing w:before="150"/>
        <w:jc w:val="center"/>
      </w:pPr>
      <w:r>
        <w:rPr>
          <w:i/>
          <w:iCs/>
          <w:color w:val="595959"/>
          <w:sz w:val="22"/>
          <w:szCs w:val="22"/>
        </w:rPr>
        <w:t xml:space="preserve">Applies to: Rust (physics_core) and C++ (UE5Project). Consolidates and supersedes informal conventions scattered across earlier build guides.</w:t>
      </w:r>
    </w:p>
    <w:p>
      <w:pPr>
        <w:pBdr>
          <w:top w:val="single" w:color="2E5395" w:sz="6" w:space="8"/>
        </w:pBdr>
        <w:spacing w:before="500"/>
        <w:jc w:val="center"/>
      </w:pPr>
      <w:r>
        <w:rPr>
          <w:color w:val="595959"/>
          <w:sz w:val="22"/>
          <w:szCs w:val="22"/>
        </w:rPr>
        <w:t xml:space="preserve">One authoritative convention for every comment in this codebase — what belongs, what doesn't, and how to strip AI-assistant conversational artifacts before they reach a commit.</w:t>
      </w:r>
    </w:p>
    <w:p>
      <w:r>
        <w:br w:type="page"/>
      </w:r>
    </w:p>
    <w:p>
      <w:pPr>
        <w:pStyle w:val="Heading1"/>
        <w:pBdr>
          <w:bottom w:val="single" w:color="2E5395" w:sz="6" w:space="4"/>
        </w:pBdr>
        <w:spacing w:after="200" w:before="400"/>
      </w:pPr>
      <w:r>
        <w:rPr>
          <w:b/>
          <w:bCs/>
          <w:color w:val="1F3864"/>
          <w:sz w:val="30"/>
          <w:szCs w:val="30"/>
        </w:rPr>
        <w:t xml:space="preserve">0. Why This Document Exists</w:t>
      </w:r>
    </w:p>
    <w:p>
      <w:pPr>
        <w:spacing w:after="160" w:line="300"/>
      </w:pPr>
      <w:r>
        <w:rPr>
          <w:sz w:val="22"/>
          <w:szCs w:val="22"/>
        </w:rPr>
        <w:t xml:space="preserve">Every earlier build guide already established small pieces of a commenting convention — the Foundations Guide asked for a unit on every DroneState field, Phase 1 asked for TODO(Dev A): markers on placeholders, the Automation Addendum asked for PLACEHOLDER: markers on unmeasured constants. Those are all still correct and still in force. This document exists to do two new things: put every one of those scattered rules in one authoritative place, and address something none of them anticipated — a meaningful fraction of this codebase is now written with AI assistance, function by function, and AI-generated comments have a distinctive, recognizable failure pattern that needs its own explicit rule, not just “write good comments.”</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The core problem in one sentence: an AI assistant writing code is, by default, narrating its own work to the person it's talking to — “I've updated this function to handle the null case,” “Here's the fix,” “This should now correctly compute the torque.” That's a reasonable thing for a chat response. It is never an acceptable comment in source code. A comment lives in the file permanently, read by people who were never in that conversation, and conversational narration reads as noise at best and as an unverified claim of correctness at worst.</w:t>
      </w:r>
    </w:p>
    <w:p>
      <w:pPr>
        <w:pStyle w:val="Heading1"/>
        <w:pBdr>
          <w:bottom w:val="single" w:color="2E5395" w:sz="6" w:space="4"/>
        </w:pBdr>
        <w:spacing w:after="200" w:before="400"/>
      </w:pPr>
      <w:r>
        <w:rPr>
          <w:b/>
          <w:bCs/>
          <w:color w:val="1F3864"/>
          <w:sz w:val="30"/>
          <w:szCs w:val="30"/>
        </w:rPr>
        <w:t xml:space="preserve">1. The One Rule Everything Else Follows From</w:t>
      </w:r>
    </w:p>
    <w:p>
      <w:pPr>
        <w:spacing w:after="160" w:line="300"/>
      </w:pPr>
      <w:r>
        <w:rPr>
          <w:sz w:val="22"/>
          <w:szCs w:val="22"/>
        </w:rPr>
        <w:t xml:space="preserve">A comment explains something the code itself cannot: why a decision was made, what unit or frame a value is in, what would go wrong if an invariant were violated, or what a future reader needs to know before changing this safely. A comment never explains what the code is doing in the way a person narrates their own actions out loud — if you have to describe the mechanics of what the next line does, the code isn't clear enough, and the fix is better naming or a simpler structure, not a comment papering over it.</w:t>
      </w:r>
    </w:p>
    <w:p>
      <w:pPr>
        <w:pStyle w:val="Heading1"/>
        <w:pBdr>
          <w:bottom w:val="single" w:color="2E5395" w:sz="6" w:space="4"/>
        </w:pBdr>
        <w:spacing w:after="200" w:before="400"/>
      </w:pPr>
      <w:r>
        <w:rPr>
          <w:b/>
          <w:bCs/>
          <w:color w:val="1F3864"/>
          <w:sz w:val="30"/>
          <w:szCs w:val="30"/>
        </w:rPr>
        <w:t xml:space="preserve">2. Reference Standards This Convention Draws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shd w:fill="2E5395" w:val="clear"/>
            <w:tcMar>
              <w:top w:type="dxa" w:w="80"/>
              <w:left w:type="dxa" w:w="120"/>
              <w:bottom w:type="dxa" w:w="80"/>
              <w:right w:type="dxa" w:w="120"/>
            </w:tcMar>
            <w:vAlign w:val="center"/>
          </w:tcPr>
          <w:p>
            <w:r>
              <w:rPr>
                <w:b/>
                <w:bCs/>
                <w:color w:val="FFFFFF"/>
                <w:sz w:val="20"/>
                <w:szCs w:val="20"/>
              </w:rPr>
              <w:t xml:space="preserve">Source</w:t>
            </w:r>
          </w:p>
        </w:tc>
        <w:tc>
          <w:tcPr>
            <w:tcW w:type="dxa" w:w="5616"/>
            <w:shd w:fill="2E5395" w:val="clear"/>
            <w:tcMar>
              <w:top w:type="dxa" w:w="80"/>
              <w:left w:type="dxa" w:w="120"/>
              <w:bottom w:type="dxa" w:w="80"/>
              <w:right w:type="dxa" w:w="120"/>
            </w:tcMar>
            <w:vAlign w:val="center"/>
          </w:tcPr>
          <w:p>
            <w:r>
              <w:rPr>
                <w:b/>
                <w:bCs/>
                <w:color w:val="FFFFFF"/>
                <w:sz w:val="20"/>
                <w:szCs w:val="20"/>
              </w:rPr>
              <w:t xml:space="preserve">What It Contributes Here</w:t>
            </w:r>
          </w:p>
        </w:tc>
      </w:tr>
      <w:tr>
        <w:trPr>
          <w:cantSplit/>
        </w:trP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Official rustdoc conventions (doc.rust-lang.org)</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The /// doc-comment structure (summary line, blank line, details, # Examples/# Panics/# Errors/# Safety sections) used throughout Section 4.</w:t>
            </w:r>
          </w:p>
        </w:tc>
      </w:tr>
      <w:tr>
        <w:trPr>
          <w:cantSplit/>
        </w:trPr>
        <w:tc>
          <w:tcPr>
            <w:tcW w:type="dxa" w:w="3744"/>
            <w:shd w:fill="F5F8FC" w:val="clear"/>
            <w:tcMar>
              <w:top w:type="dxa" w:w="80"/>
              <w:left w:type="dxa" w:w="120"/>
              <w:bottom w:type="dxa" w:w="80"/>
              <w:right w:type="dxa" w:w="120"/>
            </w:tcMar>
            <w:vAlign w:val="center"/>
          </w:tcPr>
          <w:p>
            <w:r>
              <w:rPr>
                <w:sz w:val="20"/>
                <w:szCs w:val="20"/>
              </w:rPr>
              <w:t xml:space="preserve">Rust API Guidelines — C-FAILURE, C-SEALED sections</w:t>
            </w:r>
          </w:p>
        </w:tc>
        <w:tc>
          <w:tcPr>
            <w:tcW w:type="dxa" w:w="5616"/>
            <w:shd w:fill="F5F8FC" w:val="clear"/>
            <w:tcMar>
              <w:top w:type="dxa" w:w="80"/>
              <w:left w:type="dxa" w:w="120"/>
              <w:bottom w:type="dxa" w:w="80"/>
              <w:right w:type="dxa" w:w="120"/>
            </w:tcMar>
            <w:vAlign w:val="center"/>
          </w:tcPr>
          <w:p>
            <w:r>
              <w:rPr>
                <w:sz w:val="20"/>
                <w:szCs w:val="20"/>
              </w:rPr>
              <w:t xml:space="preserve">The rule that every unsafe fn must document its safety contract in a # Safety section — not optional, checked by rustdoc lints.</w:t>
            </w:r>
          </w:p>
        </w:tc>
      </w:tr>
      <w:tr>
        <w:trPr>
          <w:cantSplit/>
        </w:trPr>
        <w:tc>
          <w:tcPr>
            <w:tcW w:type="dxa" w:w="3744"/>
            <w:shd w:fill="FFFFFF" w:val="clear"/>
            <w:tcMar>
              <w:top w:type="dxa" w:w="80"/>
              <w:left w:type="dxa" w:w="120"/>
              <w:bottom w:type="dxa" w:w="80"/>
              <w:right w:type="dxa" w:w="120"/>
            </w:tcMar>
            <w:vAlign w:val="center"/>
          </w:tcPr>
          <w:p>
            <w:r>
              <w:rPr>
                <w:b w:val="false"/>
                <w:bCs w:val="false"/>
                <w:color w:val="000000"/>
                <w:sz w:val="20"/>
                <w:szCs w:val="20"/>
              </w:rPr>
              <w:t xml:space="preserve">Doxygen conventions (\brief, \param, \return, \pre, \post)</w:t>
            </w:r>
          </w:p>
        </w:tc>
        <w:tc>
          <w:tcPr>
            <w:tcW w:type="dxa" w:w="5616"/>
            <w:shd w:fill="FFFFFF" w:val="clear"/>
            <w:tcMar>
              <w:top w:type="dxa" w:w="80"/>
              <w:left w:type="dxa" w:w="120"/>
              <w:bottom w:type="dxa" w:w="80"/>
              <w:right w:type="dxa" w:w="120"/>
            </w:tcMar>
            <w:vAlign w:val="center"/>
          </w:tcPr>
          <w:p>
            <w:r>
              <w:rPr>
                <w:b w:val="false"/>
                <w:bCs w:val="false"/>
                <w:color w:val="000000"/>
                <w:sz w:val="20"/>
                <w:szCs w:val="20"/>
              </w:rPr>
              <w:t xml:space="preserve">The equivalent structure for C++ doc comments in the UE5 plugin, used in Section 5.</w:t>
            </w:r>
          </w:p>
        </w:tc>
      </w:tr>
      <w:tr>
        <w:trPr>
          <w:cantSplit/>
        </w:trPr>
        <w:tc>
          <w:tcPr>
            <w:tcW w:type="dxa" w:w="3744"/>
            <w:shd w:fill="F5F8FC" w:val="clear"/>
            <w:tcMar>
              <w:top w:type="dxa" w:w="80"/>
              <w:left w:type="dxa" w:w="120"/>
              <w:bottom w:type="dxa" w:w="80"/>
              <w:right w:type="dxa" w:w="120"/>
            </w:tcMar>
            <w:vAlign w:val="center"/>
          </w:tcPr>
          <w:p>
            <w:r>
              <w:rPr>
                <w:sz w:val="20"/>
                <w:szCs w:val="20"/>
              </w:rPr>
              <w:t xml:space="preserve">NASA/JPL institutional coding practice (as reflected in the “Power of 10” discussion, Standards Framework)</w:t>
            </w:r>
          </w:p>
        </w:tc>
        <w:tc>
          <w:tcPr>
            <w:tcW w:type="dxa" w:w="5616"/>
            <w:shd w:fill="F5F8FC" w:val="clear"/>
            <w:tcMar>
              <w:top w:type="dxa" w:w="80"/>
              <w:left w:type="dxa" w:w="120"/>
              <w:bottom w:type="dxa" w:w="80"/>
              <w:right w:type="dxa" w:w="120"/>
            </w:tcMar>
            <w:vAlign w:val="center"/>
          </w:tcPr>
          <w:p>
            <w:r>
              <w:rPr>
                <w:sz w:val="20"/>
                <w:szCs w:val="20"/>
              </w:rPr>
              <w:t xml:space="preserve">The general principle that comment density should track code risk — more explanation where an error would be expensive, not uniformly everywhere.</w:t>
            </w:r>
          </w:p>
        </w:tc>
      </w:tr>
    </w:tbl>
    <w:p>
      <w:pPr>
        <w:pStyle w:val="Heading1"/>
        <w:pBdr>
          <w:bottom w:val="single" w:color="2E5395" w:sz="6" w:space="4"/>
        </w:pBdr>
        <w:spacing w:after="200" w:before="400"/>
      </w:pPr>
      <w:r>
        <w:rPr>
          <w:b/>
          <w:bCs/>
          <w:color w:val="1F3864"/>
          <w:sz w:val="30"/>
          <w:szCs w:val="30"/>
        </w:rPr>
        <w:t xml:space="preserve">3. Three Kinds of Comment, and When Each Is Used</w:t>
      </w:r>
    </w:p>
    <w:p>
      <w:pPr>
        <w:pStyle w:val="Heading3"/>
        <w:spacing w:after="100" w:before="220"/>
      </w:pPr>
      <w:r>
        <w:rPr>
          <w:b/>
          <w:bCs/>
          <w:color w:val="1F3864"/>
          <w:sz w:val="23"/>
          <w:szCs w:val="23"/>
        </w:rPr>
        <w:t xml:space="preserve">3.1 Doc Comments — Public API Surface</w:t>
      </w:r>
    </w:p>
    <w:p>
      <w:pPr>
        <w:spacing w:after="160" w:line="300"/>
      </w:pPr>
      <w:r>
        <w:rPr>
          <w:sz w:val="22"/>
          <w:szCs w:val="22"/>
        </w:rPr>
        <w:t xml:space="preserve">Every public function, struct, and field gets a doc comment (/// in Rust, /** */ or \brief in C++) describing its purpose, its inputs and outputs including units, and any safety contract. These are extracted into generated documentation and are the first thing another developer reads before using something — they need to be complete on their own, without requiring the reader to also open the implementation.</w:t>
      </w:r>
    </w:p>
    <w:p>
      <w:pPr>
        <w:pStyle w:val="Heading3"/>
        <w:spacing w:after="100" w:before="220"/>
      </w:pPr>
      <w:r>
        <w:rPr>
          <w:b/>
          <w:bCs/>
          <w:color w:val="1F3864"/>
          <w:sz w:val="23"/>
          <w:szCs w:val="23"/>
        </w:rPr>
        <w:t xml:space="preserve">3.2 Inline Comments — Explaining a Specific, Non-Obvious Decision</w:t>
      </w:r>
    </w:p>
    <w:p>
      <w:pPr>
        <w:spacing w:after="160" w:line="300"/>
      </w:pPr>
      <w:r>
        <w:rPr>
          <w:sz w:val="22"/>
          <w:szCs w:val="22"/>
        </w:rPr>
        <w:t xml:space="preserve">A short comment on or above a specific line, used only when that line's reasoning genuinely isn't recoverable from reading the code itself — a sign convention that looks backwards but isn't, a magic-seeming number that's actually a named physical constant from a specific source, a workaround for a specific upstream bug. If a reader could figure out why from the code alone, the inline comment doesn't belong there.</w:t>
      </w:r>
    </w:p>
    <w:p>
      <w:pPr>
        <w:pStyle w:val="Heading3"/>
        <w:spacing w:after="100" w:before="220"/>
      </w:pPr>
      <w:r>
        <w:rPr>
          <w:b/>
          <w:bCs/>
          <w:color w:val="1F3864"/>
          <w:sz w:val="23"/>
          <w:szCs w:val="23"/>
        </w:rPr>
        <w:t xml:space="preserve">3.3 Tracked Markers — PLACEHOLDER:, TODO(Dev): — Already Established, Still In Force</w:t>
      </w:r>
    </w:p>
    <w:p>
      <w:pPr>
        <w:spacing w:after="160" w:line="300"/>
      </w:pPr>
      <w:r>
        <w:rPr>
          <w:sz w:val="22"/>
          <w:szCs w:val="22"/>
        </w:rPr>
        <w:t xml:space="preserve">These aren't free-form comments — they're a fixed, grep-able convention with a CI gate behind them (the Automation Addendum's placeholder-gate.yml). Every marker below follows an exact format; deviating from the format breaks the automated check, not just the convention.</w:t>
      </w:r>
    </w:p>
    <w:p>
      <w:pPr>
        <w:spacing w:after="0" w:before="160"/>
      </w:pPr>
      <w:r>
        <w:rPr>
          <w:rFonts w:ascii="Consolas" w:cs="Consolas" w:eastAsia="Consolas" w:hAnsi="Consolas"/>
          <w:b/>
          <w:bCs/>
          <w:color w:val="444444"/>
          <w:sz w:val="19"/>
          <w:szCs w:val="19"/>
        </w:rPr>
        <w:t xml:space="preserve">The two existing marker formats — do not modify</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PLACEHOLDER: &lt;what this value actually is&gt; — not measured from real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hardware yet. See &lt;Dev/Doc reference&gt;.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const REACTION_TORQUE_COEFF: f32 = 0.02;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TODO(Dev A): replace with real RK4 integration — see Phase 1 spec</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section 5.2</w:t>
      </w:r>
    </w:p>
    <w:p>
      <w:pPr>
        <w:spacing w:after="200"/>
      </w:pPr>
    </w:p>
    <w:p>
      <w:pPr>
        <w:pStyle w:val="Heading1"/>
        <w:pBdr>
          <w:bottom w:val="single" w:color="2E5395" w:sz="6" w:space="4"/>
        </w:pBdr>
        <w:spacing w:after="200" w:before="400"/>
      </w:pPr>
      <w:r>
        <w:rPr>
          <w:b/>
          <w:bCs/>
          <w:color w:val="1F3864"/>
          <w:sz w:val="30"/>
          <w:szCs w:val="30"/>
        </w:rPr>
        <w:t xml:space="preserve">4. Rust Doc Comment Structure (Required Shape)</w:t>
      </w:r>
    </w:p>
    <w:p>
      <w:pPr>
        <w:spacing w:after="0" w:before="160"/>
      </w:pPr>
      <w:r>
        <w:rPr>
          <w:rFonts w:ascii="Consolas" w:cs="Consolas" w:eastAsia="Consolas" w:hAnsi="Consolas"/>
          <w:b/>
          <w:bCs/>
          <w:color w:val="444444"/>
          <w:sz w:val="19"/>
          <w:szCs w:val="19"/>
        </w:rPr>
        <w:t xml:space="preserve">Required structure for any public Rust item</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One-line summary in imperative or descriptive form, under ~80 chars.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Longer explanation if needed — what this represents physically,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not how the code is implemented internally.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Units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for any physical quantity — meters, radians/s, etc.)</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Safety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on every `unsafe fn` — exactly what the caller must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guarantee for this to be sound. Never omit this on FFI-boundary code.)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Errors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if the function returns a Result — what each error</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variant actually means)</w:t>
      </w:r>
    </w:p>
    <w:p>
      <w:pPr>
        <w:spacing w:after="200"/>
      </w:pP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The # Safety section is not optional stylistic preference — it's a hard requirement on every unsafe fn in this codebase, enforced the same way the Standards Framework already requires null-checks and panic-avoidance on every FFI function. A missing # Safety section on an unsafe fn should block review the same way a missing null-check would.</w:t>
      </w:r>
    </w:p>
    <w:p>
      <w:pPr>
        <w:pStyle w:val="Heading1"/>
        <w:pBdr>
          <w:bottom w:val="single" w:color="2E5395" w:sz="6" w:space="4"/>
        </w:pBdr>
        <w:spacing w:after="200" w:before="400"/>
      </w:pPr>
      <w:r>
        <w:rPr>
          <w:b/>
          <w:bCs/>
          <w:color w:val="1F3864"/>
          <w:sz w:val="30"/>
          <w:szCs w:val="30"/>
        </w:rPr>
        <w:t xml:space="preserve">5. C++ Doc Comment Structure (Required Shape, Doxygen-Style)</w:t>
      </w:r>
    </w:p>
    <w:p>
      <w:pPr>
        <w:spacing w:after="0" w:before="160"/>
      </w:pPr>
      <w:r>
        <w:rPr>
          <w:rFonts w:ascii="Consolas" w:cs="Consolas" w:eastAsia="Consolas" w:hAnsi="Consolas"/>
          <w:b/>
          <w:bCs/>
          <w:color w:val="444444"/>
          <w:sz w:val="19"/>
          <w:szCs w:val="19"/>
        </w:rPr>
        <w:t xml:space="preserve">Required structure for public C++ methods (DronePhysicsBridge, DroneTelemetryComponent, etc.)</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\brief One-line summary of what this method does.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Longer explanation if needed.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\param state Current drone state (NED frame, meters — see ADR-001).</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\return Net thrust force in world-space Newtons.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\pre state must be non-null and previously validated by the caller.</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spacing w:after="200"/>
      </w:pPr>
    </w:p>
    <w:p>
      <w:pPr>
        <w:pStyle w:val="Heading1"/>
        <w:pBdr>
          <w:bottom w:val="single" w:color="2E5395" w:sz="6" w:space="4"/>
        </w:pBdr>
        <w:spacing w:after="200" w:before="400"/>
      </w:pPr>
      <w:r>
        <w:rPr>
          <w:b/>
          <w:bCs/>
          <w:color w:val="1F3864"/>
          <w:sz w:val="30"/>
          <w:szCs w:val="30"/>
        </w:rPr>
        <w:t xml:space="preserve">6. What Never Belongs in a Comment — the AI-Artifact Ban List</w:t>
      </w:r>
    </w:p>
    <w:p>
      <w:pPr>
        <w:spacing w:after="160" w:line="300"/>
      </w:pPr>
      <w:r>
        <w:rPr>
          <w:sz w:val="22"/>
          <w:szCs w:val="22"/>
        </w:rPr>
        <w:t xml:space="preserve">Every phrase below is a real, recurring pattern in AI-assistant output, and every one of them is banned from committed code, without exception. Section 7's CI gate greps for these mechanically — this list is authoritative for what that gate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cantSplit/>
          <w:tblHeader/>
        </w:trPr>
        <w:tc>
          <w:tcPr>
            <w:tcW w:type="dxa" w:w="2808"/>
            <w:shd w:fill="2E5395" w:val="clear"/>
            <w:tcMar>
              <w:top w:type="dxa" w:w="80"/>
              <w:left w:type="dxa" w:w="120"/>
              <w:bottom w:type="dxa" w:w="80"/>
              <w:right w:type="dxa" w:w="120"/>
            </w:tcMar>
            <w:vAlign w:val="center"/>
          </w:tcPr>
          <w:p>
            <w:r>
              <w:rPr>
                <w:b/>
                <w:bCs/>
                <w:color w:val="FFFFFF"/>
                <w:sz w:val="20"/>
                <w:szCs w:val="20"/>
              </w:rPr>
              <w:t xml:space="preserve">Banned Pattern (examples)</w:t>
            </w:r>
          </w:p>
        </w:tc>
        <w:tc>
          <w:tcPr>
            <w:tcW w:type="dxa" w:w="3276"/>
            <w:shd w:fill="2E5395" w:val="clear"/>
            <w:tcMar>
              <w:top w:type="dxa" w:w="80"/>
              <w:left w:type="dxa" w:w="120"/>
              <w:bottom w:type="dxa" w:w="80"/>
              <w:right w:type="dxa" w:w="120"/>
            </w:tcMar>
            <w:vAlign w:val="center"/>
          </w:tcPr>
          <w:p>
            <w:r>
              <w:rPr>
                <w:b/>
                <w:bCs/>
                <w:color w:val="FFFFFF"/>
                <w:sz w:val="20"/>
                <w:szCs w:val="20"/>
              </w:rPr>
              <w:t xml:space="preserve">Why It's Banned</w:t>
            </w:r>
          </w:p>
        </w:tc>
        <w:tc>
          <w:tcPr>
            <w:tcW w:type="dxa" w:w="3276"/>
            <w:shd w:fill="2E5395" w:val="clear"/>
            <w:tcMar>
              <w:top w:type="dxa" w:w="80"/>
              <w:left w:type="dxa" w:w="120"/>
              <w:bottom w:type="dxa" w:w="80"/>
              <w:right w:type="dxa" w:w="120"/>
            </w:tcMar>
            <w:vAlign w:val="center"/>
          </w:tcPr>
          <w:p>
            <w:r>
              <w:rPr>
                <w:b/>
                <w:bCs/>
                <w:color w:val="FFFFFF"/>
                <w:sz w:val="20"/>
                <w:szCs w:val="20"/>
              </w:rPr>
              <w:t xml:space="preserve">What to Write Instead</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“I've updated this to...” / “I fixed...” / “Let me...”</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First-person narration of a conversation that isn't in the file. No future reader was part of that exchange.</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State the fact directly: “Handles the null-pointer case by returning ErrorCode::NullState.”</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“Here's the corrected function” / “This should now work”</w:t>
            </w:r>
          </w:p>
        </w:tc>
        <w:tc>
          <w:tcPr>
            <w:tcW w:type="dxa" w:w="3276"/>
            <w:shd w:fill="F5F8FC" w:val="clear"/>
            <w:tcMar>
              <w:top w:type="dxa" w:w="80"/>
              <w:left w:type="dxa" w:w="120"/>
              <w:bottom w:type="dxa" w:w="80"/>
              <w:right w:type="dxa" w:w="120"/>
            </w:tcMar>
            <w:vAlign w:val="center"/>
          </w:tcPr>
          <w:p>
            <w:r>
              <w:rPr>
                <w:sz w:val="20"/>
                <w:szCs w:val="20"/>
              </w:rPr>
              <w:t xml:space="preserve">Describes the act of editing, not the resulting code's behavior — and “should work” is an unverified claim, not a fact (see the AI Verification Protocol).</w:t>
            </w:r>
          </w:p>
        </w:tc>
        <w:tc>
          <w:tcPr>
            <w:tcW w:type="dxa" w:w="3276"/>
            <w:shd w:fill="F5F8FC" w:val="clear"/>
            <w:tcMar>
              <w:top w:type="dxa" w:w="80"/>
              <w:left w:type="dxa" w:w="120"/>
              <w:bottom w:type="dxa" w:w="80"/>
              <w:right w:type="dxa" w:w="120"/>
            </w:tcMar>
            <w:vAlign w:val="center"/>
          </w:tcPr>
          <w:p>
            <w:r>
              <w:rPr>
                <w:sz w:val="20"/>
                <w:szCs w:val="20"/>
              </w:rPr>
              <w:t xml:space="preserve">Either delete the comment, or state what's actually true: what the function does and why, with no hedge word.</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“As requested” / “Per your instructions” / “Sorry, fixed the typo”</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References a conversation the file has no record of and that has no meaning outside it.</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Nothing — delete entirely. If a decision needs justifying, justify it on its own merits, not by reference to who asked.</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“This is a simple/straightforward implementation of...”</w:t>
            </w:r>
          </w:p>
        </w:tc>
        <w:tc>
          <w:tcPr>
            <w:tcW w:type="dxa" w:w="3276"/>
            <w:shd w:fill="F5F8FC" w:val="clear"/>
            <w:tcMar>
              <w:top w:type="dxa" w:w="80"/>
              <w:left w:type="dxa" w:w="120"/>
              <w:bottom w:type="dxa" w:w="80"/>
              <w:right w:type="dxa" w:w="120"/>
            </w:tcMar>
            <w:vAlign w:val="center"/>
          </w:tcPr>
          <w:p>
            <w:r>
              <w:rPr>
                <w:sz w:val="20"/>
                <w:szCs w:val="20"/>
              </w:rPr>
              <w:t xml:space="preserve">A confidence/difficulty judgment, not information — and often wrong in exactly the cases that turn out to matter.</w:t>
            </w:r>
          </w:p>
        </w:tc>
        <w:tc>
          <w:tcPr>
            <w:tcW w:type="dxa" w:w="3276"/>
            <w:shd w:fill="F5F8FC" w:val="clear"/>
            <w:tcMar>
              <w:top w:type="dxa" w:w="80"/>
              <w:left w:type="dxa" w:w="120"/>
              <w:bottom w:type="dxa" w:w="80"/>
              <w:right w:type="dxa" w:w="120"/>
            </w:tcMar>
            <w:vAlign w:val="center"/>
          </w:tcPr>
          <w:p>
            <w:r>
              <w:rPr>
                <w:sz w:val="20"/>
                <w:szCs w:val="20"/>
              </w:rPr>
              <w:t xml:space="preserve">Describe what it does. Let the reader judge simplicity for themselves.</w:t>
            </w:r>
          </w:p>
        </w:tc>
      </w:tr>
      <w:tr>
        <w:trPr>
          <w:cantSplit/>
        </w:trPr>
        <w:tc>
          <w:tcPr>
            <w:tcW w:type="dxa" w:w="2808"/>
            <w:shd w:fill="FFFFFF" w:val="clear"/>
            <w:tcMar>
              <w:top w:type="dxa" w:w="80"/>
              <w:left w:type="dxa" w:w="120"/>
              <w:bottom w:type="dxa" w:w="80"/>
              <w:right w:type="dxa" w:w="120"/>
            </w:tcMar>
            <w:vAlign w:val="center"/>
          </w:tcPr>
          <w:p>
            <w:r>
              <w:rPr>
                <w:b w:val="false"/>
                <w:bCs w:val="false"/>
                <w:color w:val="000000"/>
                <w:sz w:val="20"/>
                <w:szCs w:val="20"/>
              </w:rPr>
              <w:t xml:space="preserve">Restating the next line in English (“// increment the counter” above counter += 1;)</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Adds no information the code doesn't already state more precisely.</w:t>
            </w:r>
          </w:p>
        </w:tc>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Delete. If the line genuinely needs explaining, explain why, not what.</w:t>
            </w:r>
          </w:p>
        </w:tc>
      </w:tr>
      <w:tr>
        <w:trPr>
          <w:cantSplit/>
        </w:trPr>
        <w:tc>
          <w:tcPr>
            <w:tcW w:type="dxa" w:w="2808"/>
            <w:shd w:fill="F5F8FC" w:val="clear"/>
            <w:tcMar>
              <w:top w:type="dxa" w:w="80"/>
              <w:left w:type="dxa" w:w="120"/>
              <w:bottom w:type="dxa" w:w="80"/>
              <w:right w:type="dxa" w:w="120"/>
            </w:tcMar>
            <w:vAlign w:val="center"/>
          </w:tcPr>
          <w:p>
            <w:r>
              <w:rPr>
                <w:sz w:val="20"/>
                <w:szCs w:val="20"/>
              </w:rPr>
              <w:t xml:space="preserve">Unattributed claims about correctness (“correctly handles all edge cases”)</w:t>
            </w:r>
          </w:p>
        </w:tc>
        <w:tc>
          <w:tcPr>
            <w:tcW w:type="dxa" w:w="3276"/>
            <w:shd w:fill="F5F8FC" w:val="clear"/>
            <w:tcMar>
              <w:top w:type="dxa" w:w="80"/>
              <w:left w:type="dxa" w:w="120"/>
              <w:bottom w:type="dxa" w:w="80"/>
              <w:right w:type="dxa" w:w="120"/>
            </w:tcMar>
            <w:vAlign w:val="center"/>
          </w:tcPr>
          <w:p>
            <w:r>
              <w:rPr>
                <w:sz w:val="20"/>
                <w:szCs w:val="20"/>
              </w:rPr>
              <w:t xml:space="preserve">An assertion with no evidence attached is not more true for being confidently worded — exactly the failure mode the AI Verification Protocol exists to catch.</w:t>
            </w:r>
          </w:p>
        </w:tc>
        <w:tc>
          <w:tcPr>
            <w:tcW w:type="dxa" w:w="3276"/>
            <w:shd w:fill="F5F8FC" w:val="clear"/>
            <w:tcMar>
              <w:top w:type="dxa" w:w="80"/>
              <w:left w:type="dxa" w:w="120"/>
              <w:bottom w:type="dxa" w:w="80"/>
              <w:right w:type="dxa" w:w="120"/>
            </w:tcMar>
            <w:vAlign w:val="center"/>
          </w:tcPr>
          <w:p>
            <w:r>
              <w:rPr>
                <w:sz w:val="20"/>
                <w:szCs w:val="20"/>
              </w:rPr>
              <w:t xml:space="preserve">Reference the actual test that verifies it: “Verified against TRC-CFD-006, see aero_test.rs.”</w:t>
            </w:r>
          </w:p>
        </w:tc>
      </w:tr>
    </w:tbl>
    <w:p>
      <w:pPr>
        <w:pStyle w:val="Heading1"/>
        <w:pBdr>
          <w:bottom w:val="single" w:color="2E5395" w:sz="6" w:space="4"/>
        </w:pBdr>
        <w:spacing w:after="200" w:before="400"/>
      </w:pPr>
      <w:r>
        <w:rPr>
          <w:b/>
          <w:bCs/>
          <w:color w:val="1F3864"/>
          <w:sz w:val="30"/>
          <w:szCs w:val="30"/>
        </w:rPr>
        <w:t xml:space="preserve">7. Enforcement — A CI Gate, Same Pattern as placeholder-gate.yml</w:t>
      </w:r>
    </w:p>
    <w:p>
      <w:pPr>
        <w:pStyle w:val="ListParagraph"/>
        <w:numPr>
          <w:ilvl w:val="0"/>
          <w:numId w:val="2"/>
        </w:numPr>
        <w:spacing w:after="130" w:line="290"/>
      </w:pPr>
      <w:r>
        <w:rPr>
          <w:sz w:val="22"/>
          <w:szCs w:val="22"/>
        </w:rPr>
        <w:t xml:space="preserve">Write scripts/check_comment_style.py, scanning every changed .rs and .cpp/.h file for the banned patterns in Section 6's table (a simple case-insensitive phrase list is sufficient to start; expand it as new patterns are noticed).</w:t>
      </w:r>
    </w:p>
    <w:p>
      <w:pPr>
        <w:spacing w:after="0" w:before="160"/>
      </w:pPr>
      <w:r>
        <w:rPr>
          <w:rFonts w:ascii="Consolas" w:cs="Consolas" w:eastAsia="Consolas" w:hAnsi="Consolas"/>
          <w:b/>
          <w:bCs/>
          <w:color w:val="444444"/>
          <w:sz w:val="19"/>
          <w:szCs w:val="19"/>
        </w:rPr>
        <w:t xml:space="preserve">.github/workflows/comment-style-gate.yml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Comment Style Gate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Check for AI-assistant conversational artifacts</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python scripts/check_comment_style.py --changed-files-only --fail-on-match</w:t>
      </w:r>
    </w:p>
    <w:p>
      <w:pPr>
        <w:spacing w:after="200"/>
      </w:pPr>
    </w:p>
    <w:p>
      <w:pPr>
        <w:pStyle w:val="ListParagraph"/>
        <w:numPr>
          <w:ilvl w:val="0"/>
          <w:numId w:val="2"/>
        </w:numPr>
        <w:spacing w:after="130" w:line="290"/>
      </w:pPr>
      <w:r>
        <w:rPr>
          <w:sz w:val="22"/>
          <w:szCs w:val="22"/>
        </w:rPr>
        <w:t xml:space="preserve">Scope this to changed files only (not the whole repo on every run) so it's fast and specifically targets new commits, where the problem actually originates.</w:t>
      </w:r>
    </w:p>
    <w:p>
      <w:pPr>
        <w:pStyle w:val="ListParagraph"/>
        <w:numPr>
          <w:ilvl w:val="0"/>
          <w:numId w:val="2"/>
        </w:numPr>
        <w:spacing w:after="130" w:line="290"/>
      </w:pPr>
      <w:r>
        <w:rPr>
          <w:sz w:val="22"/>
          <w:szCs w:val="22"/>
        </w:rPr>
        <w:t xml:space="preserve">Add this as a required status check in branch protection, the same tier as the placeholder gate — a conversational artifact in a comment is a real, if minor, defect, not a style nitpick to skip when busy.</w:t>
      </w:r>
    </w:p>
    <w:p>
      <w:pPr>
        <w:pBdr>
          <w:left w:val="single" w:color="2E5395" w:sz="18" w:space="8"/>
        </w:pBdr>
        <w:shd w:fill="EAF0F8" w:val="clear"/>
        <w:spacing w:after="200" w:before="100"/>
        <w:ind w:left="100"/>
      </w:pPr>
      <w:r>
        <w:rPr>
          <w:i/>
          <w:iCs/>
          <w:color w:val="1F1F1F"/>
          <w:sz w:val="21"/>
          <w:szCs w:val="21"/>
        </w:rPr>
        <w:t xml:space="preserve">This gate catches the obvious, mechanical cases. It will not catch a comment that's conversational in tone without using one of the listed phrases, or a comment making an unverified confidence claim in different words. Human review is still required for the cases a grep can't reach — the gate raises the floor, it doesn't replace judgment.</w:t>
      </w:r>
    </w:p>
    <w:p>
      <w:pPr>
        <w:pStyle w:val="Heading1"/>
        <w:pBdr>
          <w:bottom w:val="single" w:color="2E5395" w:sz="6" w:space="4"/>
        </w:pBdr>
        <w:spacing w:after="200" w:before="400"/>
      </w:pPr>
      <w:r>
        <w:rPr>
          <w:b/>
          <w:bCs/>
          <w:color w:val="1F3864"/>
          <w:sz w:val="30"/>
          <w:szCs w:val="30"/>
        </w:rPr>
        <w:t xml:space="preserve">8. Worked Example — Before and After</w:t>
      </w:r>
    </w:p>
    <w:p>
      <w:pPr>
        <w:pStyle w:val="Heading3"/>
        <w:spacing w:after="100" w:before="220"/>
      </w:pPr>
      <w:r>
        <w:rPr>
          <w:b/>
          <w:bCs/>
          <w:color w:val="1F3864"/>
          <w:sz w:val="23"/>
          <w:szCs w:val="23"/>
        </w:rPr>
        <w:t xml:space="preserve">8.1 What AI-Assistant Output Often Looks Like, Unedited</w:t>
      </w:r>
    </w:p>
    <w:p>
      <w:pPr>
        <w:spacing w:after="0" w:before="160"/>
      </w:pPr>
      <w:r>
        <w:rPr>
          <w:rFonts w:ascii="Consolas" w:cs="Consolas" w:eastAsia="Consolas" w:hAnsi="Consolas"/>
          <w:b/>
          <w:bCs/>
          <w:color w:val="444444"/>
          <w:sz w:val="19"/>
          <w:szCs w:val="19"/>
        </w:rPr>
        <w:t xml:space="preserve">BEFORE — do not commit this</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I've fixed the issue where the quaternion wasn't being normalized.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This should now correctly keep the magnitude at 1.0 after each step.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fn integrate(state: &amp;DroneState, dt: f32) -&gt; DroneState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Let me compute the new orientation here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let new_orientation = compute_rk4_orientation(state, dt);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normalize 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let normalized = new_orientation.normalize();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return the updated state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DroneState { orientation: normalized, ..*state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spacing w:after="200"/>
      </w:pPr>
    </w:p>
    <w:p>
      <w:pPr>
        <w:pStyle w:val="Heading3"/>
        <w:spacing w:after="100" w:before="220"/>
      </w:pPr>
      <w:r>
        <w:rPr>
          <w:b/>
          <w:bCs/>
          <w:color w:val="1F3864"/>
          <w:sz w:val="23"/>
          <w:szCs w:val="23"/>
        </w:rPr>
        <w:t xml:space="preserve">8.2 The Same Code, Corrected to This Standard</w:t>
      </w:r>
    </w:p>
    <w:p>
      <w:pPr>
        <w:spacing w:after="0" w:before="160"/>
      </w:pPr>
      <w:r>
        <w:rPr>
          <w:rFonts w:ascii="Consolas" w:cs="Consolas" w:eastAsia="Consolas" w:hAnsi="Consolas"/>
          <w:b/>
          <w:bCs/>
          <w:color w:val="444444"/>
          <w:sz w:val="19"/>
          <w:szCs w:val="19"/>
        </w:rPr>
        <w:t xml:space="preserve">AFTER — committable</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Advances orientation by one RK4 step and re-normalizes the result.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Re-normalization is required every step, not just periodically — the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RK4 quaternion derivative does not itself preserve unit length.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Verified against TRC-FEA-integrator C3 (10,000-step norm drift 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fn integrate(state: &amp;DroneState, dt: f32) -&gt; DroneState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let new_orientation = compute_rk4_orientation(state, dt);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DroneState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orientation: new_orientation.normalize(),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..*state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t>
      </w:r>
    </w:p>
    <w:p>
      <w:pPr>
        <w:spacing w:after="200"/>
      </w:pPr>
    </w:p>
    <w:p>
      <w:pPr>
        <w:pBdr>
          <w:left w:val="single" w:color="2E5395" w:sz="18" w:space="8"/>
        </w:pBdr>
        <w:shd w:fill="EAF0F8" w:val="clear"/>
        <w:spacing w:after="200" w:before="100"/>
        <w:ind w:left="100"/>
      </w:pPr>
      <w:r>
        <w:rPr>
          <w:i/>
          <w:iCs/>
          <w:color w:val="1F1F1F"/>
          <w:sz w:val="21"/>
          <w:szCs w:val="21"/>
        </w:rPr>
        <w:t xml:space="preserve">Notice what disappeared entirely, not just what got reworded: the three inline comments restating each line are gone because the code is already clear at that level of detail. What remains is the one piece of information the code truly can't express on its own — why normalization has to happen every step — plus a pointer to the actual test that proves it, replacing the vague, unverifiable “should now correctly...” claim.</w:t>
      </w:r>
    </w:p>
    <w:p>
      <w:pPr>
        <w:pStyle w:val="Heading1"/>
        <w:pBdr>
          <w:bottom w:val="single" w:color="2E5395" w:sz="6" w:space="4"/>
        </w:pBdr>
        <w:spacing w:after="200" w:before="400"/>
      </w:pPr>
      <w:r>
        <w:rPr>
          <w:b/>
          <w:bCs/>
          <w:color w:val="1F3864"/>
          <w:sz w:val="30"/>
          <w:szCs w:val="30"/>
        </w:rPr>
        <w:t xml:space="preserve">9. Quick Reference — Rollout Checklist</w:t>
      </w:r>
    </w:p>
    <w:p>
      <w:pPr>
        <w:pStyle w:val="ListParagraph"/>
        <w:numPr>
          <w:ilvl w:val="0"/>
          <w:numId w:val="3"/>
        </w:numPr>
        <w:spacing w:after="100" w:line="290"/>
      </w:pPr>
      <w:r>
        <w:rPr>
          <w:sz w:val="22"/>
          <w:szCs w:val="22"/>
        </w:rPr>
        <w:t xml:space="preserve">Section 4/5 doc comment structures adopted as the required shape for all new public Rust/C++ items</w:t>
      </w:r>
    </w:p>
    <w:p>
      <w:pPr>
        <w:pStyle w:val="ListParagraph"/>
        <w:numPr>
          <w:ilvl w:val="0"/>
          <w:numId w:val="3"/>
        </w:numPr>
        <w:spacing w:after="100" w:line="290"/>
      </w:pPr>
      <w:r>
        <w:rPr>
          <w:sz w:val="22"/>
          <w:szCs w:val="22"/>
        </w:rPr>
        <w:t xml:space="preserve"># Safety sections audited and added to every existing unsafe fn missing one</w:t>
      </w:r>
    </w:p>
    <w:p>
      <w:pPr>
        <w:pStyle w:val="ListParagraph"/>
        <w:numPr>
          <w:ilvl w:val="0"/>
          <w:numId w:val="3"/>
        </w:numPr>
        <w:spacing w:after="100" w:line="290"/>
      </w:pPr>
      <w:r>
        <w:rPr>
          <w:sz w:val="22"/>
          <w:szCs w:val="22"/>
        </w:rPr>
        <w:t xml:space="preserve">scripts/check_comment_style.py written and wired into comment-style-gate.yml</w:t>
      </w:r>
    </w:p>
    <w:p>
      <w:pPr>
        <w:pStyle w:val="ListParagraph"/>
        <w:numPr>
          <w:ilvl w:val="0"/>
          <w:numId w:val="3"/>
        </w:numPr>
        <w:spacing w:after="100" w:line="290"/>
      </w:pPr>
      <w:r>
        <w:rPr>
          <w:sz w:val="22"/>
          <w:szCs w:val="22"/>
        </w:rPr>
        <w:t xml:space="preserve">Gate added as a required branch-protection check</w:t>
      </w:r>
    </w:p>
    <w:p>
      <w:pPr>
        <w:pStyle w:val="ListParagraph"/>
        <w:numPr>
          <w:ilvl w:val="0"/>
          <w:numId w:val="3"/>
        </w:numPr>
        <w:spacing w:after="100" w:line="290"/>
      </w:pPr>
      <w:r>
        <w:rPr>
          <w:sz w:val="22"/>
          <w:szCs w:val="22"/>
        </w:rPr>
        <w:t xml:space="preserve">Existing codebase scanned once for the Section 6 ban list as a one-time cleanup pass, tracked the same way the static-analysis ratchet baseline is tracked — not required to hit zero immediately, but tracked and only ever decreasing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2026-08-07T20:32:59.559Z</dcterms:created>
  <dcterms:modified xsi:type="dcterms:W3CDTF">2026-08-07T20:32:59.582Z</dcterms:modified>
</cp:coreProperties>
</file>

<file path=docProps/custom.xml><?xml version="1.0" encoding="utf-8"?>
<Properties xmlns="http://schemas.openxmlformats.org/officeDocument/2006/custom-properties" xmlns:vt="http://schemas.openxmlformats.org/officeDocument/2006/docPropsVTypes"/>
</file>