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pacing w:val="20"/>
          <w:sz w:val="30"/>
          <w:szCs w:val="30"/>
        </w:rPr>
        <w:t xml:space="preserve">UAV SIMULATOR</w:t>
      </w:r>
    </w:p>
    <w:p>
      <w:pPr>
        <w:spacing w:before="200"/>
        <w:jc w:val="center"/>
      </w:pPr>
      <w:r>
        <w:rPr>
          <w:b/>
          <w:bCs/>
          <w:color w:val="2E5395"/>
          <w:sz w:val="44"/>
          <w:szCs w:val="44"/>
        </w:rPr>
        <w:t xml:space="preserve">PHASE 2 — ADVANCED MULTIPHYSICS</w:t>
      </w:r>
    </w:p>
    <w:p>
      <w:pPr>
        <w:spacing w:before="300"/>
        <w:jc w:val="center"/>
      </w:pPr>
      <w:r>
        <w:rPr>
          <w:b/>
          <w:bCs/>
          <w:color w:val="000000"/>
          <w:sz w:val="34"/>
          <w:szCs w:val="34"/>
        </w:rPr>
        <w:t xml:space="preserve">Dev 2 (“Dev A”) — FEA &amp; Structural Surrogate Owner</w:t>
      </w:r>
    </w:p>
    <w:p>
      <w:pPr>
        <w:spacing w:before="150"/>
        <w:jc w:val="center"/>
      </w:pPr>
      <w:r>
        <w:rPr>
          <w:i/>
          <w:iCs/>
          <w:color w:val="595959"/>
          <w:sz w:val="22"/>
          <w:szCs w:val="22"/>
        </w:rPr>
        <w:t xml:space="preserve">Continuing from your Phase 1 role: RK4 6DoF Integrator. Tools: an FEA tool (chosen in Task 1), Python, RustRover.</w:t>
      </w:r>
    </w:p>
    <w:p>
      <w:pPr>
        <w:pBdr>
          <w:top w:val="single" w:color="2E5395" w:sz="6" w:space="8"/>
        </w:pBdr>
        <w:spacing w:before="500"/>
        <w:jc w:val="center"/>
      </w:pPr>
      <w:r>
        <w:rPr>
          <w:color w:val="595959"/>
          <w:sz w:val="22"/>
          <w:szCs w:val="22"/>
        </w:rPr>
        <w:t xml:space="preserve">Covers everything from choosing an FEA tool to a validated, FFI-exposed structural surrogate.</w:t>
      </w:r>
    </w:p>
    <w:p>
      <w:r>
        <w:br w:type="page"/>
      </w:r>
    </w:p>
    <w:p>
      <w:pPr>
        <w:pStyle w:val="Heading1"/>
        <w:pBdr>
          <w:bottom w:val="single" w:color="2E5395" w:sz="6" w:space="4"/>
        </w:pBdr>
        <w:spacing w:after="200" w:before="400"/>
      </w:pPr>
      <w:r>
        <w:rPr>
          <w:b/>
          <w:bCs/>
          <w:color w:val="1F3864"/>
          <w:sz w:val="30"/>
          <w:szCs w:val="30"/>
        </w:rPr>
        <w:t xml:space="preserve">1. Your Role, In Plain Terms</w:t>
      </w:r>
    </w:p>
    <w:p>
      <w:pPr>
        <w:spacing w:after="160" w:line="300"/>
      </w:pPr>
      <w:r>
        <w:rPr>
          <w:sz w:val="22"/>
          <w:szCs w:val="22"/>
        </w:rPr>
        <w:t xml:space="preserve">In Phase 1 you built the math that answers “given the forces and torques on the drone right now, where will it physically be one instant later.” You treated the drone as a rigid body — solid, unbending, unbreakable — which was a correct and necessary simplification to get a physically accurate flight simulation working at all.</w:t>
      </w:r>
    </w:p>
    <w:p>
      <w:pPr>
        <w:spacing w:after="160" w:line="300"/>
      </w:pPr>
      <w:r>
        <w:rPr>
          <w:sz w:val="22"/>
          <w:szCs w:val="22"/>
        </w:rPr>
        <w:t xml:space="preserve">Phase 2 asks a different question about the same drone: not where it moves, but whether it survives moving that way. A real frame flexes under a hard maneuver, stress concentrates around screw holes, and carbon fiber can delaminate under extreme G-force. That’s Finite Element Analysis (FEA), and the Phase 2 document deliberately hands it to you — you already understand forces, torques, and the numerical-validation mindset (free-fall tests, hover tests, tight tolerances) better than anyone else on the team, since that’s exactly what your Phase 1 Testing &amp; Debugging guide was built around. FEA follows a different mathematical method than RK4, but the discipline of “does this number match a hand-calculable or known-real case” is the same discipline you already practiced.</w:t>
      </w:r>
    </w:p>
    <w:p>
      <w:pPr>
        <w:pBdr>
          <w:left w:val="single" w:color="2E5395" w:sz="18" w:space="8"/>
        </w:pBdr>
        <w:shd w:fill="EAF0F8" w:val="clear"/>
        <w:spacing w:after="200" w:before="100"/>
        <w:ind w:left="100"/>
      </w:pPr>
      <w:r>
        <w:rPr>
          <w:i/>
          <w:iCs/>
          <w:color w:val="1F1F1F"/>
          <w:sz w:val="21"/>
          <w:szCs w:val="21"/>
        </w:rPr>
        <w:t xml:space="preserve">Your Phase 1 file, integrator.rs, is not touched in Phase 2. RK4 keeps doing exactly what it already does. Structural analysis is an entirely new, separate concern that happens to feed a new safety-margin number to the OSD — it does not change how the drone moves.</w:t>
      </w:r>
    </w:p>
    <w:p>
      <w:pPr>
        <w:pBdr>
          <w:top w:val="single" w:color="B8860B" w:sz="4" w:space="6"/>
          <w:bottom w:val="single" w:color="B8860B" w:sz="4" w:space="6"/>
          <w:left w:val="single" w:color="B8860B" w:sz="4" w:space="6"/>
          <w:right w:val="single" w:color="B8860B" w:sz="4" w:space="6"/>
        </w:pBdr>
        <w:shd w:fill="FFF3CD" w:val="clear"/>
        <w:spacing w:after="200" w:before="150"/>
      </w:pPr>
      <w:r>
        <w:rPr>
          <w:b/>
          <w:bCs/>
          <w:color w:val="5A4500"/>
          <w:sz w:val="21"/>
          <w:szCs w:val="21"/>
        </w:rPr>
        <w:t xml:space="preserve">⚠ Do not start this work until Dev B has Tasks 1–9 of their own Phase 2 guide proven working. The whole point of your work reusing the offline-sweep → surrogate → validate → FFI pattern is that it’s proven once, by Dev B, first — starting FEA in parallel risks duplicating effort or diverging from a pattern that hasn’t been checked yet.</w:t>
      </w:r>
    </w:p>
    <w:p>
      <w:pPr>
        <w:pBdr>
          <w:top w:val="single" w:color="B8860B" w:sz="4" w:space="6"/>
          <w:bottom w:val="single" w:color="B8860B" w:sz="4" w:space="6"/>
          <w:left w:val="single" w:color="B8860B" w:sz="4" w:space="6"/>
          <w:right w:val="single" w:color="B8860B" w:sz="4" w:space="6"/>
        </w:pBdr>
        <w:shd w:fill="FFF3CD" w:val="clear"/>
        <w:spacing w:after="200" w:before="150"/>
      </w:pPr>
      <w:r>
        <w:rPr>
          <w:b/>
          <w:bCs/>
          <w:color w:val="5A4500"/>
          <w:sz w:val="21"/>
          <w:szCs w:val="21"/>
        </w:rPr>
        <w:t xml:space="preserve">⚠ Also required reading before Task 1: the “Core Engineering Standards &amp; Safety Classification Framework” document (Part II covers a mandatory model-provenance requirement that changes your Task 9) and the “Automated Tier-2 Pipeline &amp; Supply Chain Addendum” (your FEA runs and surrogate training now execute through an automated GitHub Actions workflow on the team's GPU laptop, not manually).</w:t>
      </w:r>
    </w:p>
    <w:p>
      <w:pPr>
        <w:pStyle w:val="Heading1"/>
        <w:pBdr>
          <w:bottom w:val="single" w:color="2E5395" w:sz="6" w:space="4"/>
        </w:pBdr>
        <w:spacing w:after="200" w:before="400"/>
      </w:pPr>
      <w:r>
        <w:rPr>
          <w:b/>
          <w:bCs/>
          <w:color w:val="1F3864"/>
          <w:sz w:val="30"/>
          <w:szCs w:val="30"/>
        </w:rPr>
        <w:t xml:space="preserve">2. What “Done” Looks Like For You</w:t>
      </w:r>
    </w:p>
    <w:p>
      <w:pPr>
        <w:pStyle w:val="ListParagraph"/>
        <w:numPr>
          <w:ilvl w:val="0"/>
          <w:numId w:val="2"/>
        </w:numPr>
        <w:spacing w:after="100" w:line="290"/>
      </w:pPr>
      <w:r>
        <w:rPr>
          <w:sz w:val="22"/>
          <w:szCs w:val="22"/>
        </w:rPr>
        <w:t xml:space="preserve">An FEA tool chosen and justified (Task 1 below), since — unlike CFD, which the Phase 2 document already pins to FluidX3D — this decision is still open and yours to make.</w:t>
      </w:r>
    </w:p>
    <w:p>
      <w:pPr>
        <w:pStyle w:val="ListParagraph"/>
        <w:numPr>
          <w:ilvl w:val="0"/>
          <w:numId w:val="2"/>
        </w:numPr>
        <w:spacing w:after="100" w:line="290"/>
      </w:pPr>
      <w:r>
        <w:rPr>
          <w:sz w:val="22"/>
          <w:szCs w:val="22"/>
        </w:rPr>
        <w:t xml:space="preserve">A structural case sweep completed, covering a realistic range of G-load, motor vibration frequency, and impact angle.</w:t>
      </w:r>
    </w:p>
    <w:p>
      <w:pPr>
        <w:pStyle w:val="ListParagraph"/>
        <w:numPr>
          <w:ilvl w:val="0"/>
          <w:numId w:val="2"/>
        </w:numPr>
        <w:spacing w:after="100" w:line="290"/>
      </w:pPr>
      <w:r>
        <w:rPr>
          <w:sz w:val="22"/>
          <w:szCs w:val="22"/>
        </w:rPr>
        <w:t xml:space="preserve">A trained surrogate mapping flight/structural condition to stress and failure margin, validated against held-out cases with an honestly reported error number.</w:t>
      </w:r>
    </w:p>
    <w:p>
      <w:pPr>
        <w:pStyle w:val="ListParagraph"/>
        <w:numPr>
          <w:ilvl w:val="0"/>
          <w:numId w:val="2"/>
        </w:numPr>
        <w:spacing w:after="100" w:line="290"/>
      </w:pPr>
      <w:r>
        <w:rPr>
          <w:sz w:val="22"/>
          <w:szCs w:val="22"/>
        </w:rPr>
        <w:t xml:space="preserve">The surrogate exported and wired into a new structural.rs Rust module, following the exact same FFI pattern the Lead Architect set up for Dev B’s aero surrogate.</w:t>
      </w:r>
    </w:p>
    <w:p>
      <w:pPr>
        <w:pStyle w:val="ListParagraph"/>
        <w:numPr>
          <w:ilvl w:val="0"/>
          <w:numId w:val="2"/>
        </w:numPr>
        <w:spacing w:after="100" w:line="290"/>
      </w:pPr>
      <w:r>
        <w:rPr>
          <w:sz w:val="22"/>
          <w:szCs w:val="22"/>
        </w:rPr>
        <w:t xml:space="preserve">A documented plan for closing the loop with a real physical load test once a frame prototype exists — mirroring how Dev B closes the loop with propeller bench testing.</w:t>
      </w:r>
    </w:p>
    <w:p>
      <w:pPr>
        <w:pStyle w:val="ListParagraph"/>
        <w:numPr>
          <w:ilvl w:val="0"/>
          <w:numId w:val="2"/>
        </w:numPr>
        <w:spacing w:after="100" w:line="290"/>
      </w:pPr>
      <w:r>
        <w:rPr>
          <w:sz w:val="22"/>
          <w:szCs w:val="22"/>
        </w:rPr>
        <w:t xml:space="preserve">Every exported model carrying embedded geometry-hash provenance (Standards Framework Part II), matching Dev B’s format exactly — the loader will refuse anything missing it.</w:t>
      </w:r>
    </w:p>
    <w:p>
      <w:pPr>
        <w:pStyle w:val="Heading1"/>
        <w:pBdr>
          <w:bottom w:val="single" w:color="2E5395" w:sz="6" w:space="4"/>
        </w:pBdr>
        <w:spacing w:after="200" w:before="400"/>
      </w:pPr>
      <w:r>
        <w:rPr>
          <w:b/>
          <w:bCs/>
          <w:color w:val="1F3864"/>
          <w:sz w:val="30"/>
          <w:szCs w:val="30"/>
        </w:rPr>
        <w:t xml:space="preserve">3. Tools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5803"/>
      </w:tblGrid>
      <w:tr>
        <w:trPr>
          <w:tblHeader/>
        </w:trPr>
        <w:tc>
          <w:tcPr>
            <w:tcW w:type="dxa" w:w="3557"/>
            <w:shd w:fill="2E5395" w:val="clear"/>
            <w:tcMar>
              <w:top w:type="dxa" w:w="80"/>
              <w:left w:type="dxa" w:w="120"/>
              <w:bottom w:type="dxa" w:w="80"/>
              <w:right w:type="dxa" w:w="120"/>
            </w:tcMar>
            <w:vAlign w:val="center"/>
          </w:tcPr>
          <w:p>
            <w:r>
              <w:rPr>
                <w:b/>
                <w:bCs/>
                <w:color w:val="FFFFFF"/>
                <w:sz w:val="20"/>
                <w:szCs w:val="20"/>
              </w:rPr>
              <w:t xml:space="preserve">Tool</w:t>
            </w:r>
          </w:p>
        </w:tc>
        <w:tc>
          <w:tcPr>
            <w:tcW w:type="dxa" w:w="5803"/>
            <w:shd w:fill="2E5395" w:val="clear"/>
            <w:tcMar>
              <w:top w:type="dxa" w:w="80"/>
              <w:left w:type="dxa" w:w="120"/>
              <w:bottom w:type="dxa" w:w="80"/>
              <w:right w:type="dxa" w:w="120"/>
            </w:tcMar>
            <w:vAlign w:val="center"/>
          </w:tcPr>
          <w:p>
            <w:r>
              <w:rPr>
                <w:b/>
                <w:bCs/>
                <w:color w:val="FFFFFF"/>
                <w:sz w:val="20"/>
                <w:szCs w:val="20"/>
              </w:rPr>
              <w:t xml:space="preserve">Why You Need It</w:t>
            </w:r>
          </w:p>
        </w:tc>
      </w:tr>
      <w:tr>
        <w:tc>
          <w:tcPr>
            <w:tcW w:type="dxa" w:w="3557"/>
            <w:shd w:fill="FFFFFF" w:val="clear"/>
            <w:tcMar>
              <w:top w:type="dxa" w:w="80"/>
              <w:left w:type="dxa" w:w="120"/>
              <w:bottom w:type="dxa" w:w="80"/>
              <w:right w:type="dxa" w:w="120"/>
            </w:tcMar>
            <w:vAlign w:val="center"/>
          </w:tcPr>
          <w:p>
            <w:r>
              <w:rPr>
                <w:b w:val="false"/>
                <w:bCs w:val="false"/>
                <w:color w:val="000000"/>
                <w:sz w:val="20"/>
                <w:szCs w:val="20"/>
              </w:rPr>
              <w:t xml:space="preserve">An FEA solver (chosen in Task 1)</w:t>
            </w:r>
          </w:p>
        </w:tc>
        <w:tc>
          <w:tcPr>
            <w:tcW w:type="dxa" w:w="5803"/>
            <w:shd w:fill="FFFFFF" w:val="clear"/>
            <w:tcMar>
              <w:top w:type="dxa" w:w="80"/>
              <w:left w:type="dxa" w:w="120"/>
              <w:bottom w:type="dxa" w:w="80"/>
              <w:right w:type="dxa" w:w="120"/>
            </w:tcMar>
            <w:vAlign w:val="center"/>
          </w:tcPr>
          <w:p>
            <w:r>
              <w:rPr>
                <w:b w:val="false"/>
                <w:bCs w:val="false"/>
                <w:color w:val="000000"/>
                <w:sz w:val="20"/>
                <w:szCs w:val="20"/>
              </w:rPr>
              <w:t xml:space="preserve">Runs the actual structural simulation. Common accessible options include CalculiX and Code_Aster (both free, open-source, and widely used for exactly this kind of composite-structure analysis) — you’ll evaluate and pick one in Task 1, the same way the project already picked FluidX3D for CFD.</w:t>
            </w:r>
          </w:p>
        </w:tc>
      </w:tr>
      <w:tr>
        <w:tc>
          <w:tcPr>
            <w:tcW w:type="dxa" w:w="3557"/>
            <w:shd w:fill="F5F8FC" w:val="clear"/>
            <w:tcMar>
              <w:top w:type="dxa" w:w="80"/>
              <w:left w:type="dxa" w:w="120"/>
              <w:bottom w:type="dxa" w:w="80"/>
              <w:right w:type="dxa" w:w="120"/>
            </w:tcMar>
            <w:vAlign w:val="center"/>
          </w:tcPr>
          <w:p>
            <w:r>
              <w:rPr>
                <w:sz w:val="20"/>
                <w:szCs w:val="20"/>
              </w:rPr>
              <w:t xml:space="preserve">Python 3.10+ with scikit-learn (or GPy/GPyTorch), for local development</w:t>
            </w:r>
          </w:p>
        </w:tc>
        <w:tc>
          <w:tcPr>
            <w:tcW w:type="dxa" w:w="5803"/>
            <w:shd w:fill="F5F8FC" w:val="clear"/>
            <w:tcMar>
              <w:top w:type="dxa" w:w="80"/>
              <w:left w:type="dxa" w:w="120"/>
              <w:bottom w:type="dxa" w:w="80"/>
              <w:right w:type="dxa" w:w="120"/>
            </w:tcMar>
            <w:vAlign w:val="center"/>
          </w:tcPr>
          <w:p>
            <w:r>
              <w:rPr>
                <w:sz w:val="20"/>
                <w:szCs w:val="20"/>
              </w:rPr>
              <w:t xml:space="preserve">The same GPR surrogate-training approach Dev B uses for aerodynamics — you are reusing their proven method, not inventing a new one. Use offline_pipeline/requirements.txt (hash-locked) for installs, same file Dev B uses.</w:t>
            </w:r>
          </w:p>
        </w:tc>
      </w:tr>
      <w:tr>
        <w:tc>
          <w:tcPr>
            <w:tcW w:type="dxa" w:w="3557"/>
            <w:shd w:fill="FFFFFF" w:val="clear"/>
            <w:tcMar>
              <w:top w:type="dxa" w:w="80"/>
              <w:left w:type="dxa" w:w="120"/>
              <w:bottom w:type="dxa" w:w="80"/>
              <w:right w:type="dxa" w:w="120"/>
            </w:tcMar>
            <w:vAlign w:val="center"/>
          </w:tcPr>
          <w:p>
            <w:r>
              <w:rPr>
                <w:b w:val="false"/>
                <w:bCs w:val="false"/>
                <w:color w:val="000000"/>
                <w:sz w:val="20"/>
                <w:szCs w:val="20"/>
              </w:rPr>
              <w:t xml:space="preserve">The team's GPU laptop (RTX 4050, 6GB VRAM)</w:t>
            </w:r>
          </w:p>
        </w:tc>
        <w:tc>
          <w:tcPr>
            <w:tcW w:type="dxa" w:w="5803"/>
            <w:shd w:fill="FFFFFF" w:val="clear"/>
            <w:tcMar>
              <w:top w:type="dxa" w:w="80"/>
              <w:left w:type="dxa" w:w="120"/>
              <w:bottom w:type="dxa" w:w="80"/>
              <w:right w:type="dxa" w:w="120"/>
            </w:tcMar>
            <w:vAlign w:val="center"/>
          </w:tcPr>
          <w:p>
            <w:r>
              <w:rPr>
                <w:b w:val="false"/>
                <w:bCs w:val="false"/>
                <w:color w:val="000000"/>
                <w:sz w:val="20"/>
                <w:szCs w:val="20"/>
              </w:rPr>
              <w:t xml:space="preserve">Where your case runs and training actually execute, via the same self-hosted GitHub Actions runner Dev B uses — see the Automation Addendum. FEA is typically lighter on VRAM than CFD, but you're sharing the same hardware, so coordinate scheduling with Dev B (Part A.4 of the Addendum adds a concurrency lock for exactly this).</w:t>
            </w:r>
          </w:p>
        </w:tc>
      </w:tr>
      <w:tr>
        <w:tc>
          <w:tcPr>
            <w:tcW w:type="dxa" w:w="3557"/>
            <w:shd w:fill="F5F8FC" w:val="clear"/>
            <w:tcMar>
              <w:top w:type="dxa" w:w="80"/>
              <w:left w:type="dxa" w:w="120"/>
              <w:bottom w:type="dxa" w:w="80"/>
              <w:right w:type="dxa" w:w="120"/>
            </w:tcMar>
            <w:vAlign w:val="center"/>
          </w:tcPr>
          <w:p>
            <w:r>
              <w:rPr>
                <w:sz w:val="20"/>
                <w:szCs w:val="20"/>
              </w:rPr>
              <w:t xml:space="preserve">Material property references</w:t>
            </w:r>
          </w:p>
        </w:tc>
        <w:tc>
          <w:tcPr>
            <w:tcW w:type="dxa" w:w="5803"/>
            <w:shd w:fill="F5F8FC" w:val="clear"/>
            <w:tcMar>
              <w:top w:type="dxa" w:w="80"/>
              <w:left w:type="dxa" w:w="120"/>
              <w:bottom w:type="dxa" w:w="80"/>
              <w:right w:type="dxa" w:w="120"/>
            </w:tcMar>
            <w:vAlign w:val="center"/>
          </w:tcPr>
          <w:p>
            <w:r>
              <w:rPr>
                <w:sz w:val="20"/>
                <w:szCs w:val="20"/>
              </w:rPr>
              <w:t xml:space="preserve">Manufacturer datasheets for your frame’s carbon fiber layup, or reasonable published reference values if datasheets aren’t available yet.</w:t>
            </w:r>
          </w:p>
        </w:tc>
      </w:tr>
      <w:tr>
        <w:tc>
          <w:tcPr>
            <w:tcW w:type="dxa" w:w="3557"/>
            <w:shd w:fill="FFFFFF" w:val="clear"/>
            <w:tcMar>
              <w:top w:type="dxa" w:w="80"/>
              <w:left w:type="dxa" w:w="120"/>
              <w:bottom w:type="dxa" w:w="80"/>
              <w:right w:type="dxa" w:w="120"/>
            </w:tcMar>
            <w:vAlign w:val="center"/>
          </w:tcPr>
          <w:p>
            <w:r>
              <w:rPr>
                <w:b w:val="false"/>
                <w:bCs w:val="false"/>
                <w:color w:val="000000"/>
                <w:sz w:val="20"/>
                <w:szCs w:val="20"/>
              </w:rPr>
              <w:t xml:space="preserve">RustRover</w:t>
            </w:r>
          </w:p>
        </w:tc>
        <w:tc>
          <w:tcPr>
            <w:tcW w:type="dxa" w:w="5803"/>
            <w:shd w:fill="FFFFFF" w:val="clear"/>
            <w:tcMar>
              <w:top w:type="dxa" w:w="80"/>
              <w:left w:type="dxa" w:w="120"/>
              <w:bottom w:type="dxa" w:w="80"/>
              <w:right w:type="dxa" w:w="120"/>
            </w:tcMar>
            <w:vAlign w:val="center"/>
          </w:tcPr>
          <w:p>
            <w:r>
              <w:rPr>
                <w:b w:val="false"/>
                <w:bCs w:val="false"/>
                <w:color w:val="000000"/>
                <w:sz w:val="20"/>
                <w:szCs w:val="20"/>
              </w:rPr>
              <w:t xml:space="preserve">For the small, focused new structural.rs module and the FFI-facing placeholder file the Lead Architect provides.</w:t>
            </w:r>
          </w:p>
        </w:tc>
      </w:tr>
      <w:tr>
        <w:tc>
          <w:tcPr>
            <w:tcW w:type="dxa" w:w="3557"/>
            <w:shd w:fill="F5F8FC" w:val="clear"/>
            <w:tcMar>
              <w:top w:type="dxa" w:w="80"/>
              <w:left w:type="dxa" w:w="120"/>
              <w:bottom w:type="dxa" w:w="80"/>
              <w:right w:type="dxa" w:w="120"/>
            </w:tcMar>
            <w:vAlign w:val="center"/>
          </w:tcPr>
          <w:p>
            <w:r>
              <w:rPr>
                <w:sz w:val="20"/>
                <w:szCs w:val="20"/>
              </w:rPr>
              <w:t xml:space="preserve">Git</w:t>
            </w:r>
          </w:p>
        </w:tc>
        <w:tc>
          <w:tcPr>
            <w:tcW w:type="dxa" w:w="5803"/>
            <w:shd w:fill="F5F8FC" w:val="clear"/>
            <w:tcMar>
              <w:top w:type="dxa" w:w="80"/>
              <w:left w:type="dxa" w:w="120"/>
              <w:bottom w:type="dxa" w:w="80"/>
              <w:right w:type="dxa" w:w="120"/>
            </w:tcMar>
            <w:vAlign w:val="center"/>
          </w:tcPr>
          <w:p>
            <w:r>
              <w:rPr>
                <w:sz w:val="20"/>
                <w:szCs w:val="20"/>
              </w:rPr>
              <w:t xml:space="preserve">To pull Dev B’s proven pipeline scripts as a starting template, and to push your own case data and training scripts.</w:t>
            </w:r>
          </w:p>
        </w:tc>
      </w:tr>
    </w:tbl>
    <w:p>
      <w:pPr>
        <w:pStyle w:val="Heading1"/>
        <w:pBdr>
          <w:bottom w:val="single" w:color="2E5395" w:sz="6" w:space="4"/>
        </w:pBdr>
        <w:spacing w:after="200" w:before="400"/>
      </w:pPr>
      <w:r>
        <w:rPr>
          <w:b/>
          <w:bCs/>
          <w:color w:val="1F3864"/>
          <w:sz w:val="30"/>
          <w:szCs w:val="30"/>
        </w:rPr>
        <w:t xml:space="preserve">4. Where You're Working In The Project</w:t>
      </w:r>
    </w:p>
    <w:p>
      <w:pPr>
        <w:spacing w:after="160" w:line="300"/>
      </w:pPr>
      <w:r>
        <w:rPr>
          <w:rFonts w:ascii="Consolas" w:cs="Consolas" w:eastAsia="Consolas" w:hAnsi="Consolas"/>
          <w:b/>
          <w:bCs/>
          <w:sz w:val="21"/>
          <w:szCs w:val="21"/>
        </w:rPr>
        <w:t xml:space="preserve">offline_pipeline/fea/</w:t>
      </w:r>
      <w:r>
        <w:rPr>
          <w:sz w:val="21"/>
          <w:szCs w:val="21"/>
        </w:rPr>
        <w:t xml:space="preserve">  — YOUR new working area. Contains your FEA case files, material property references, and Python surrogate-training scripts — structured the same way Dev B’s offline_pipeline/cfd/ is.</w:t>
      </w:r>
    </w:p>
    <w:p>
      <w:pPr>
        <w:spacing w:after="160" w:line="300"/>
      </w:pPr>
      <w:r>
        <w:rPr>
          <w:rFonts w:ascii="Consolas" w:cs="Consolas" w:eastAsia="Consolas" w:hAnsi="Consolas"/>
          <w:b/>
          <w:bCs/>
          <w:sz w:val="21"/>
          <w:szCs w:val="21"/>
        </w:rPr>
        <w:t xml:space="preserve">physics_core/src/structural.rs</w:t>
      </w:r>
      <w:r>
        <w:rPr>
          <w:sz w:val="21"/>
          <w:szCs w:val="21"/>
        </w:rPr>
        <w:t xml:space="preserve">  — NEW file, entirely yours. A small live Rust module that queries your trained structural surrogate every tick and returns a safety margin.</w:t>
      </w:r>
    </w:p>
    <w:p>
      <w:pPr>
        <w:spacing w:after="160" w:line="300"/>
      </w:pPr>
      <w:r>
        <w:rPr>
          <w:rFonts w:ascii="Consolas" w:cs="Consolas" w:eastAsia="Consolas" w:hAnsi="Consolas"/>
          <w:b/>
          <w:bCs/>
          <w:sz w:val="21"/>
          <w:szCs w:val="21"/>
        </w:rPr>
        <w:t xml:space="preserve">physics_core/src/surrogate/fea_surrogate.rs</w:t>
      </w:r>
      <w:r>
        <w:rPr>
          <w:sz w:val="21"/>
          <w:szCs w:val="21"/>
        </w:rPr>
        <w:t xml:space="preserve">  — a placeholder the Lead Architect creates for you, mirroring aero_surrogate.rs. You fill this in once your model is trained and exported.</w:t>
      </w:r>
    </w:p>
    <w:p>
      <w:pPr>
        <w:pBdr>
          <w:top w:val="single" w:color="B8860B" w:sz="4" w:space="6"/>
          <w:bottom w:val="single" w:color="B8860B" w:sz="4" w:space="6"/>
          <w:left w:val="single" w:color="B8860B" w:sz="4" w:space="6"/>
          <w:right w:val="single" w:color="B8860B" w:sz="4" w:space="6"/>
        </w:pBdr>
        <w:shd w:fill="FFF3CD" w:val="clear"/>
        <w:spacing w:after="200" w:before="150"/>
      </w:pPr>
      <w:r>
        <w:rPr>
          <w:b/>
          <w:bCs/>
          <w:color w:val="5A4500"/>
          <w:sz w:val="21"/>
          <w:szCs w:val="21"/>
        </w:rPr>
        <w:t xml:space="preserve">⚠ Confirm the exact export format with the Lead Architect before writing your Python export step — it must match Dev B's format exactly, since you're both loaded through the same generic surrogate loader.</w:t>
      </w:r>
    </w:p>
    <w:p>
      <w:pPr>
        <w:pStyle w:val="Heading1"/>
        <w:pBdr>
          <w:bottom w:val="single" w:color="2E5395" w:sz="6" w:space="4"/>
        </w:pBdr>
        <w:spacing w:after="200" w:before="400"/>
      </w:pPr>
      <w:r>
        <w:rPr>
          <w:b/>
          <w:bCs/>
          <w:color w:val="1F3864"/>
          <w:sz w:val="30"/>
          <w:szCs w:val="30"/>
        </w:rPr>
        <w:t xml:space="preserve">5. The Concepts You Need</w:t>
      </w:r>
    </w:p>
    <w:p>
      <w:pPr>
        <w:pStyle w:val="Heading3"/>
        <w:spacing w:after="100" w:before="220"/>
      </w:pPr>
      <w:r>
        <w:rPr>
          <w:b/>
          <w:bCs/>
          <w:color w:val="1F3864"/>
          <w:sz w:val="23"/>
          <w:szCs w:val="23"/>
        </w:rPr>
        <w:t xml:space="preserve">5.1 What FEA Actually Calculates</w:t>
      </w:r>
    </w:p>
    <w:p>
      <w:pPr>
        <w:spacing w:after="160" w:line="300"/>
      </w:pPr>
      <w:r>
        <w:rPr>
          <w:sz w:val="22"/>
          <w:szCs w:val="22"/>
        </w:rPr>
        <w:t xml:space="preserve">FEA breaks the drone’s frame into thousands of small, connected pieces (“elements”) and calculates how each one deforms and stresses under load, then adds all of that up to predict how the whole structure bends, where stress concentrates, and whether any part exceeds what the material can survive. Picture the frame as a very fine 3D mesh of tiny connected blocks — FEA works out how each block pushes and pulls on its neighbors.</w:t>
      </w:r>
    </w:p>
    <w:p>
      <w:pPr>
        <w:pStyle w:val="Heading3"/>
        <w:spacing w:after="100" w:before="220"/>
      </w:pPr>
      <w:r>
        <w:rPr>
          <w:b/>
          <w:bCs/>
          <w:color w:val="1F3864"/>
          <w:sz w:val="23"/>
          <w:szCs w:val="23"/>
        </w:rPr>
        <w:t xml:space="preserve">5.2 What Feeds Into an FEA Case</w:t>
      </w:r>
    </w:p>
    <w:p>
      <w:pPr>
        <w:pStyle w:val="ListParagraph"/>
        <w:numPr>
          <w:ilvl w:val="0"/>
          <w:numId w:val="2"/>
        </w:numPr>
        <w:spacing w:after="100" w:line="290"/>
      </w:pPr>
      <w:r>
        <w:rPr>
          <w:sz w:val="22"/>
          <w:szCs w:val="22"/>
        </w:rPr>
        <w:t xml:space="preserve">Aerodynamic pressure across the frame’s surface — this comes from Dev B’s validated CFD surrogate, not recalculated separately. This is the concrete reason your work depends on Dev B’s being proven first.</w:t>
      </w:r>
    </w:p>
    <w:p>
      <w:pPr>
        <w:pStyle w:val="ListParagraph"/>
        <w:numPr>
          <w:ilvl w:val="0"/>
          <w:numId w:val="2"/>
        </w:numPr>
        <w:spacing w:after="100" w:line="290"/>
      </w:pPr>
      <w:r>
        <w:rPr>
          <w:sz w:val="22"/>
          <w:szCs w:val="22"/>
        </w:rPr>
        <w:t xml:space="preserve">Motor vibration frequency — how fast each motor spins translates into a vibration shaking the frame it’s mounted to, which causes fatigue-type stress separate from one-off G-force loading.</w:t>
      </w:r>
    </w:p>
    <w:p>
      <w:pPr>
        <w:pStyle w:val="ListParagraph"/>
        <w:numPr>
          <w:ilvl w:val="0"/>
          <w:numId w:val="2"/>
        </w:numPr>
        <w:spacing w:after="100" w:line="290"/>
      </w:pPr>
      <w:r>
        <w:rPr>
          <w:sz w:val="22"/>
          <w:szCs w:val="22"/>
        </w:rPr>
        <w:t xml:space="preserve">The frame’s material properties — carbon fiber’s stiffness and strength, from datasheets or published references.</w:t>
      </w:r>
    </w:p>
    <w:p>
      <w:pPr>
        <w:pStyle w:val="Heading3"/>
        <w:spacing w:after="100" w:before="220"/>
      </w:pPr>
      <w:r>
        <w:rPr>
          <w:b/>
          <w:bCs/>
          <w:color w:val="1F3864"/>
          <w:sz w:val="23"/>
          <w:szCs w:val="23"/>
        </w:rPr>
        <w:t xml:space="preserve">5.3 The Same Pattern, Applied to a New Kind of Physics</w:t>
      </w:r>
    </w:p>
    <w:p>
      <w:pPr>
        <w:spacing w:after="160" w:line="300"/>
      </w:pPr>
      <w:r>
        <w:rPr>
          <w:sz w:val="22"/>
          <w:szCs w:val="22"/>
        </w:rPr>
        <w:t xml:space="preserve">FEA is exactly as computationally expensive, relative to a live physics tick, as CFD — so it follows the identical offline → surrogate → validate pattern Dev B already proved out: sweep a range of conditions (G-load, vibration frequency, impact angle) offline, fit a surrogate mapping condition to stress/failure margin, and validate it against held-out cases before trusting it live. You are not inventing a new methodology here; you are applying Dev B’s proven one to a different physical question.</w:t>
      </w:r>
    </w:p>
    <w:p>
      <w:pPr>
        <w:pStyle w:val="Heading3"/>
        <w:spacing w:after="100" w:before="220"/>
      </w:pPr>
      <w:r>
        <w:rPr>
          <w:b/>
          <w:bCs/>
          <w:color w:val="1F3864"/>
          <w:sz w:val="23"/>
          <w:szCs w:val="23"/>
        </w:rPr>
        <w:t xml:space="preserve">5.4 The Honest Limits of “More Cases” — Same Rule as Dev B’s</w:t>
      </w:r>
    </w:p>
    <w:p>
      <w:pPr>
        <w:spacing w:after="160" w:line="300"/>
      </w:pPr>
      <w:r>
        <w:rPr>
          <w:sz w:val="22"/>
          <w:szCs w:val="22"/>
        </w:rPr>
        <w:t xml:space="preserve">Exactly as with CFD: running more FEA cases only makes your surrogate a better mirror of your own FEA setup. It does not, by itself, make your FEA setup a better mirror of how your real carbon-fiber frame actually behaves. That second gap only closes with real-world validation — a physical load test on an actual built frame, once one exists, the same way bench-testing closes that gap for Dev B’s propellers.</w:t>
      </w:r>
    </w:p>
    <w:p>
      <w:pPr>
        <w:pStyle w:val="Heading3"/>
        <w:spacing w:after="100" w:before="220"/>
      </w:pPr>
      <w:r>
        <w:rPr>
          <w:b/>
          <w:bCs/>
          <w:color w:val="1F3864"/>
          <w:sz w:val="23"/>
          <w:szCs w:val="23"/>
        </w:rPr>
        <w:t xml:space="preserve">5.5 Your Case Runs and Training Now Execute Automatically, Off Your Own Machine</w:t>
      </w:r>
    </w:p>
    <w:p>
      <w:pPr>
        <w:spacing w:after="160" w:line="300"/>
      </w:pPr>
      <w:r>
        <w:rPr>
          <w:sz w:val="22"/>
          <w:szCs w:val="22"/>
        </w:rPr>
        <w:t xml:space="preserve">Per the Automation Addendum, you develop and test your scripts locally, but the real case sweeps and surrogate training run through GitHub Actions workflows on the team's shared GPU laptop — triggered from GitHub, with live progress visible in the Actions tab, results automatically tagged with geometry-hash provenance and placed in the right folder, no manual copying. The one deliberately manual step: a newly trained structural surrogate doesn't become the active one until its auto-opened pull request is reviewed and merged, per the Standards Framework's Tier D review policy — a change to what the simulation believes about structural safety margins is exactly the kind of thing that shouldn't merge itself.</w:t>
      </w:r>
    </w:p>
    <w:p>
      <w:pPr>
        <w:pStyle w:val="Heading1"/>
        <w:pBdr>
          <w:bottom w:val="single" w:color="2E5395" w:sz="6" w:space="4"/>
        </w:pBdr>
        <w:spacing w:after="200" w:before="400"/>
      </w:pPr>
      <w:r>
        <w:rPr>
          <w:b/>
          <w:bCs/>
          <w:color w:val="1F3864"/>
          <w:sz w:val="30"/>
          <w:szCs w:val="30"/>
        </w:rPr>
        <w:t xml:space="preserve">6. Step-by-Step Tasks, In Order</w:t>
      </w:r>
    </w:p>
    <w:p>
      <w:pPr>
        <w:pStyle w:val="Heading3"/>
        <w:spacing w:after="100" w:before="220"/>
      </w:pPr>
      <w:r>
        <w:rPr>
          <w:b/>
          <w:bCs/>
          <w:color w:val="1F3864"/>
          <w:sz w:val="23"/>
          <w:szCs w:val="23"/>
        </w:rPr>
        <w:t xml:space="preserve">Task 1 — Choose Your FEA Tool</w:t>
      </w:r>
    </w:p>
    <w:p>
      <w:pPr>
        <w:pStyle w:val="ListParagraph"/>
        <w:numPr>
          <w:ilvl w:val="0"/>
          <w:numId w:val="3"/>
        </w:numPr>
        <w:spacing w:after="130" w:line="290"/>
      </w:pPr>
      <w:r>
        <w:rPr>
          <w:sz w:val="22"/>
          <w:szCs w:val="22"/>
        </w:rPr>
        <w:t xml:space="preserve">Evaluate CalculiX and Code_Aster (both free, open-source, well-documented, and commonly used for composite structural analysis) against your team’s needs; either is a reasonable, defensible choice — pick one and document why.</w:t>
      </w:r>
    </w:p>
    <w:p>
      <w:pPr>
        <w:pStyle w:val="ListParagraph"/>
        <w:numPr>
          <w:ilvl w:val="0"/>
          <w:numId w:val="3"/>
        </w:numPr>
        <w:spacing w:after="130" w:line="290"/>
      </w:pPr>
      <w:r>
        <w:rPr>
          <w:sz w:val="22"/>
          <w:szCs w:val="22"/>
        </w:rPr>
        <w:t xml:space="preserve">Confirm your chosen tool can be scripted/automated (not just used through a GUI), since you’ll be running many cases programmatically, the same way Dev B automates FluidX3D.</w:t>
      </w:r>
    </w:p>
    <w:p>
      <w:pPr>
        <w:pStyle w:val="ListParagraph"/>
        <w:numPr>
          <w:ilvl w:val="0"/>
          <w:numId w:val="3"/>
        </w:numPr>
        <w:spacing w:after="130" w:line="290"/>
      </w:pPr>
      <w:r>
        <w:rPr>
          <w:sz w:val="22"/>
          <w:szCs w:val="22"/>
        </w:rPr>
        <w:t xml:space="preserve">Install it and run its own basic example/tutorial case successfully before touching the real drone frame — confirm you understand the tool’s workflow before adding project-specific complexity.</w:t>
      </w:r>
    </w:p>
    <w:p>
      <w:pPr>
        <w:pStyle w:val="Heading3"/>
        <w:spacing w:after="100" w:before="220"/>
      </w:pPr>
      <w:r>
        <w:rPr>
          <w:b/>
          <w:bCs/>
          <w:color w:val="1F3864"/>
          <w:sz w:val="23"/>
          <w:szCs w:val="23"/>
        </w:rPr>
        <w:t xml:space="preserve">Task 2 — Confirm Dev B’s Pipeline Is Proven</w:t>
      </w:r>
    </w:p>
    <w:p>
      <w:pPr>
        <w:pStyle w:val="ListParagraph"/>
        <w:numPr>
          <w:ilvl w:val="0"/>
          <w:numId w:val="3"/>
        </w:numPr>
        <w:spacing w:after="130" w:line="290"/>
      </w:pPr>
      <w:r>
        <w:rPr>
          <w:sz w:val="22"/>
          <w:szCs w:val="22"/>
        </w:rPr>
        <w:t xml:space="preserve">Check with Dev B that their Tasks 1–9 (FluidX3D installed, UIUC-validated, airframe surrogate trained and validated, exposed through the FFI boundary) are complete.</w:t>
      </w:r>
    </w:p>
    <w:p>
      <w:pPr>
        <w:pStyle w:val="ListParagraph"/>
        <w:numPr>
          <w:ilvl w:val="0"/>
          <w:numId w:val="3"/>
        </w:numPr>
        <w:spacing w:after="130" w:line="290"/>
      </w:pPr>
      <w:r>
        <w:rPr>
          <w:sz w:val="22"/>
          <w:szCs w:val="22"/>
        </w:rPr>
        <w:t xml:space="preserve">Ask Dev B directly for their CFD surrogate’s pressure-output format — this is your Task 4 input, and getting it early avoids a late surprise.</w:t>
      </w:r>
    </w:p>
    <w:p>
      <w:pPr>
        <w:pStyle w:val="Heading3"/>
        <w:spacing w:after="100" w:before="220"/>
      </w:pPr>
      <w:r>
        <w:rPr>
          <w:b/>
          <w:bCs/>
          <w:color w:val="1F3864"/>
          <w:sz w:val="23"/>
          <w:szCs w:val="23"/>
        </w:rPr>
        <w:t xml:space="preserve">Task 3 — Gather Material Properties</w:t>
      </w:r>
    </w:p>
    <w:p>
      <w:pPr>
        <w:pStyle w:val="ListParagraph"/>
        <w:numPr>
          <w:ilvl w:val="0"/>
          <w:numId w:val="3"/>
        </w:numPr>
        <w:spacing w:after="130" w:line="290"/>
      </w:pPr>
      <w:r>
        <w:rPr>
          <w:sz w:val="22"/>
          <w:szCs w:val="22"/>
        </w:rPr>
        <w:t xml:space="preserve">Source your frame material’s stiffness and strength values from a manufacturer datasheet, or from a reasonable published reference if a datasheet isn’t available yet.</w:t>
      </w:r>
    </w:p>
    <w:p>
      <w:pPr>
        <w:pStyle w:val="ListParagraph"/>
        <w:numPr>
          <w:ilvl w:val="0"/>
          <w:numId w:val="3"/>
        </w:numPr>
        <w:spacing w:after="130" w:line="290"/>
      </w:pPr>
      <w:r>
        <w:rPr>
          <w:sz w:val="22"/>
          <w:szCs w:val="22"/>
        </w:rPr>
        <w:t xml:space="preserve">Record these as named, documented constants — the same “no magic numbers” discipline the Phase 1 development document required everywhere else in this project.</w:t>
      </w:r>
    </w:p>
    <w:p>
      <w:pPr>
        <w:pStyle w:val="Heading3"/>
        <w:spacing w:after="100" w:before="220"/>
      </w:pPr>
      <w:r>
        <w:rPr>
          <w:b/>
          <w:bCs/>
          <w:color w:val="1F3864"/>
          <w:sz w:val="23"/>
          <w:szCs w:val="23"/>
        </w:rPr>
        <w:t xml:space="preserve">Task 4 — Build One Test Structural Case, End to End</w:t>
      </w:r>
    </w:p>
    <w:p>
      <w:pPr>
        <w:pStyle w:val="ListParagraph"/>
        <w:numPr>
          <w:ilvl w:val="0"/>
          <w:numId w:val="3"/>
        </w:numPr>
        <w:spacing w:after="130" w:line="290"/>
      </w:pPr>
      <w:r>
        <w:rPr>
          <w:sz w:val="22"/>
          <w:szCs w:val="22"/>
        </w:rPr>
        <w:t xml:space="preserve">Set up the simplest possible representative case: the frame under one single, simple load condition (for example, a straightforward downward G-load with no vibration).</w:t>
      </w:r>
    </w:p>
    <w:p>
      <w:pPr>
        <w:pStyle w:val="ListParagraph"/>
        <w:numPr>
          <w:ilvl w:val="0"/>
          <w:numId w:val="3"/>
        </w:numPr>
        <w:spacing w:after="130" w:line="290"/>
      </w:pPr>
      <w:r>
        <w:rPr>
          <w:sz w:val="22"/>
          <w:szCs w:val="22"/>
        </w:rPr>
        <w:t xml:space="preserve">Run it and extract stress/deformation output.</w:t>
      </w:r>
    </w:p>
    <w:p>
      <w:pPr>
        <w:pStyle w:val="ListParagraph"/>
        <w:numPr>
          <w:ilvl w:val="0"/>
          <w:numId w:val="3"/>
        </w:numPr>
        <w:spacing w:after="130" w:line="290"/>
      </w:pPr>
      <w:r>
        <w:rPr>
          <w:sz w:val="22"/>
          <w:szCs w:val="22"/>
        </w:rPr>
        <w:t xml:space="preserve">Repeat at increasing mesh resolution until the answer stops changing meaningfully — a mesh convergence check, the same concept Dev B applies to their CFD cases, just for a structural solver instead.</w:t>
      </w:r>
    </w:p>
    <w:p>
      <w:pPr>
        <w:pStyle w:val="Heading3"/>
        <w:spacing w:after="100" w:before="220"/>
      </w:pPr>
      <w:r>
        <w:rPr>
          <w:b/>
          <w:bCs/>
          <w:color w:val="1F3864"/>
          <w:sz w:val="23"/>
          <w:szCs w:val="23"/>
        </w:rPr>
        <w:t xml:space="preserve">Task 5 — Define the Full Structural Case Sweep Plan</w:t>
      </w:r>
    </w:p>
    <w:p>
      <w:pPr>
        <w:pStyle w:val="ListParagraph"/>
        <w:numPr>
          <w:ilvl w:val="0"/>
          <w:numId w:val="3"/>
        </w:numPr>
        <w:spacing w:after="130" w:line="290"/>
      </w:pPr>
      <w:r>
        <w:rPr>
          <w:sz w:val="22"/>
          <w:szCs w:val="22"/>
        </w:rPr>
        <w:t xml:space="preserve">Decide realistic ranges for G-load, motor vibration frequency, and impact angle, based on the drone’s expected flight envelope and maneuvers.</w:t>
      </w:r>
    </w:p>
    <w:p>
      <w:pPr>
        <w:pStyle w:val="ListParagraph"/>
        <w:numPr>
          <w:ilvl w:val="0"/>
          <w:numId w:val="3"/>
        </w:numPr>
        <w:spacing w:after="130" w:line="290"/>
      </w:pPr>
      <w:r>
        <w:rPr>
          <w:sz w:val="22"/>
          <w:szCs w:val="22"/>
        </w:rPr>
        <w:t xml:space="preserve">Decide a bootstrap set size and total case budget, following the same bootstrap-then-active-learning approach Dev B used — there’s no need to reinvent this; ask Dev B to walk you through their Task 4–Task 7 process if anything is unclear.</w:t>
      </w:r>
    </w:p>
    <w:p>
      <w:pPr>
        <w:pStyle w:val="Heading3"/>
        <w:spacing w:after="100" w:before="220"/>
      </w:pPr>
      <w:r>
        <w:rPr>
          <w:b/>
          <w:bCs/>
          <w:color w:val="1F3864"/>
          <w:sz w:val="23"/>
          <w:szCs w:val="23"/>
        </w:rPr>
        <w:t xml:space="preserve">Task 6 — Run the Bootstrap Cases and Train the Initial Surrogate</w:t>
      </w:r>
    </w:p>
    <w:p>
      <w:pPr>
        <w:pStyle w:val="ListParagraph"/>
        <w:numPr>
          <w:ilvl w:val="0"/>
          <w:numId w:val="3"/>
        </w:numPr>
        <w:spacing w:after="130" w:line="290"/>
      </w:pPr>
      <w:r>
        <w:rPr>
          <w:sz w:val="22"/>
          <w:szCs w:val="22"/>
        </w:rPr>
        <w:t xml:space="preserve">Run every bootstrap case through your chosen FEA tool, using the convergence settings from Task 4 — via the cfd-fea-run.yml workflow (Automation Addendum Part A), not manually, so results are automatically tagged and placed.</w:t>
      </w:r>
    </w:p>
    <w:p>
      <w:pPr>
        <w:pStyle w:val="ListParagraph"/>
        <w:numPr>
          <w:ilvl w:val="0"/>
          <w:numId w:val="3"/>
        </w:numPr>
        <w:spacing w:after="130" w:line="290"/>
      </w:pPr>
      <w:r>
        <w:rPr>
          <w:sz w:val="22"/>
          <w:szCs w:val="22"/>
        </w:rPr>
        <w:t xml:space="preserve">Confirm each case’s stress/failure-margin outputs land correctly in the tagged results folder.</w:t>
      </w:r>
    </w:p>
    <w:p>
      <w:pPr>
        <w:pStyle w:val="ListParagraph"/>
        <w:numPr>
          <w:ilvl w:val="0"/>
          <w:numId w:val="3"/>
        </w:numPr>
        <w:spacing w:after="130" w:line="290"/>
      </w:pPr>
      <w:r>
        <w:rPr>
          <w:sz w:val="22"/>
          <w:szCs w:val="22"/>
        </w:rPr>
        <w:t xml:space="preserve">Fit a Gaussian Process Regression model to the bootstrap dataset, reusing Dev B’s training script as a starting template rather than writing one from scratch. Develop and test this locally first, then run the real training job through train-surrogate.yml on the GPU laptop.</w:t>
      </w:r>
    </w:p>
    <w:p>
      <w:pPr>
        <w:pStyle w:val="Heading3"/>
        <w:spacing w:after="100" w:before="220"/>
      </w:pPr>
      <w:r>
        <w:rPr>
          <w:b/>
          <w:bCs/>
          <w:color w:val="1F3864"/>
          <w:sz w:val="23"/>
          <w:szCs w:val="23"/>
        </w:rPr>
        <w:t xml:space="preserve">Task 7 — Run the Active-Learning Loop</w:t>
      </w:r>
    </w:p>
    <w:p>
      <w:pPr>
        <w:pStyle w:val="ListParagraph"/>
        <w:numPr>
          <w:ilvl w:val="0"/>
          <w:numId w:val="3"/>
        </w:numPr>
        <w:spacing w:after="130" w:line="290"/>
      </w:pPr>
      <w:r>
        <w:rPr>
          <w:sz w:val="22"/>
          <w:szCs w:val="22"/>
        </w:rPr>
        <w:t xml:space="preserve">Calculate the relevance factor for every remaining untested candidate condition, exactly as Dev B does.</w:t>
      </w:r>
    </w:p>
    <w:p>
      <w:pPr>
        <w:pStyle w:val="ListParagraph"/>
        <w:numPr>
          <w:ilvl w:val="0"/>
          <w:numId w:val="3"/>
        </w:numPr>
        <w:spacing w:after="130" w:line="290"/>
      </w:pPr>
      <w:r>
        <w:rPr>
          <w:sz w:val="22"/>
          <w:szCs w:val="22"/>
        </w:rPr>
        <w:t xml:space="preserve">Run the highest-relevance case, add it to the dataset, retrain, and repeat until accuracy stops meaningfully improving or the case budget is reached.</w:t>
      </w:r>
    </w:p>
    <w:p>
      <w:pPr>
        <w:pStyle w:val="Heading3"/>
        <w:spacing w:after="100" w:before="220"/>
      </w:pPr>
      <w:r>
        <w:rPr>
          <w:b/>
          <w:bCs/>
          <w:color w:val="1F3864"/>
          <w:sz w:val="23"/>
          <w:szCs w:val="23"/>
        </w:rPr>
        <w:t xml:space="preserve">Task 8 — Validate the Final Surrogate</w:t>
      </w:r>
    </w:p>
    <w:p>
      <w:pPr>
        <w:pStyle w:val="ListParagraph"/>
        <w:numPr>
          <w:ilvl w:val="0"/>
          <w:numId w:val="3"/>
        </w:numPr>
        <w:spacing w:after="130" w:line="290"/>
      </w:pPr>
      <w:r>
        <w:rPr>
          <w:sz w:val="22"/>
          <w:szCs w:val="22"/>
        </w:rPr>
        <w:t xml:space="preserve">Run a small set of held-out cases never used in training, and compare against the surrogate’s predictions.</w:t>
      </w:r>
    </w:p>
    <w:p>
      <w:pPr>
        <w:pStyle w:val="ListParagraph"/>
        <w:numPr>
          <w:ilvl w:val="0"/>
          <w:numId w:val="3"/>
        </w:numPr>
        <w:spacing w:after="130" w:line="290"/>
      </w:pPr>
      <w:r>
        <w:rPr>
          <w:sz w:val="22"/>
          <w:szCs w:val="22"/>
        </w:rPr>
        <w:t xml:space="preserve">Report the error as an explicit number, and document exactly which G-load/vibration/angle envelope this validation actually covers.</w:t>
      </w:r>
    </w:p>
    <w:p>
      <w:pPr>
        <w:pStyle w:val="Heading3"/>
        <w:spacing w:after="100" w:before="220"/>
      </w:pPr>
      <w:r>
        <w:rPr>
          <w:b/>
          <w:bCs/>
          <w:color w:val="1F3864"/>
          <w:sz w:val="23"/>
          <w:szCs w:val="23"/>
        </w:rPr>
        <w:t xml:space="preserve">Task 9 — Export and Wire In the Surrogate</w:t>
      </w:r>
    </w:p>
    <w:p>
      <w:pPr>
        <w:pStyle w:val="ListParagraph"/>
        <w:numPr>
          <w:ilvl w:val="0"/>
          <w:numId w:val="3"/>
        </w:numPr>
        <w:spacing w:after="130" w:line="290"/>
      </w:pPr>
      <w:r>
        <w:rPr>
          <w:sz w:val="22"/>
          <w:szCs w:val="22"/>
        </w:rPr>
        <w:t xml:space="preserve">Export your trained model to the format the Lead Architect decided on (matching Dev B’s format exactly).</w:t>
      </w:r>
    </w:p>
    <w:p>
      <w:pPr>
        <w:pStyle w:val="ListParagraph"/>
        <w:numPr>
          <w:ilvl w:val="0"/>
          <w:numId w:val="3"/>
        </w:numPr>
        <w:spacing w:after="130" w:line="290"/>
      </w:pPr>
      <w:r>
        <w:rPr>
          <w:sz w:val="22"/>
          <w:szCs w:val="22"/>
        </w:rPr>
        <w:t xml:space="preserve">Non-optional: embed geometry_hash, design_revision, trained_at_utc, and trained_by as ONNX metadata on every export, per the Standards Framework Part II — the loader will refuse a model missing this. Pass --embed-provenance when running train-surrogate.yml so this happens automatically rather than being a manual step you might forget.</w:t>
      </w:r>
    </w:p>
    <w:p>
      <w:pPr>
        <w:pStyle w:val="ListParagraph"/>
        <w:numPr>
          <w:ilvl w:val="0"/>
          <w:numId w:val="3"/>
        </w:numPr>
        <w:spacing w:after="130" w:line="290"/>
      </w:pPr>
      <w:r>
        <w:rPr>
          <w:sz w:val="22"/>
          <w:szCs w:val="22"/>
        </w:rPr>
        <w:t xml:space="preserve">Fill in physics_core/src/surrogate/fea_surrogate.rs with your model’s specific input ordering.</w:t>
      </w:r>
    </w:p>
    <w:p>
      <w:pPr>
        <w:pStyle w:val="ListParagraph"/>
        <w:numPr>
          <w:ilvl w:val="0"/>
          <w:numId w:val="3"/>
        </w:numPr>
        <w:spacing w:after="130" w:line="290"/>
      </w:pPr>
      <w:r>
        <w:rPr>
          <w:sz w:val="22"/>
          <w:szCs w:val="22"/>
        </w:rPr>
        <w:t xml:space="preserve">Create physics_core/src/structural.rs: a small module that calls the surrogate query function each tick and returns a structural safety margin value.</w:t>
      </w:r>
    </w:p>
    <w:p>
      <w:pPr>
        <w:pStyle w:val="ListParagraph"/>
        <w:numPr>
          <w:ilvl w:val="0"/>
          <w:numId w:val="3"/>
        </w:numPr>
        <w:spacing w:after="130" w:line="290"/>
      </w:pPr>
      <w:r>
        <w:rPr>
          <w:sz w:val="22"/>
          <w:szCs w:val="22"/>
        </w:rPr>
        <w:t xml:space="preserve">Coordinate with the Lead Architect on exactly where this call fits in the step_physics pipeline (per their Task 6).</w:t>
      </w:r>
    </w:p>
    <w:p>
      <w:pPr>
        <w:pStyle w:val="ListParagraph"/>
        <w:numPr>
          <w:ilvl w:val="0"/>
          <w:numId w:val="3"/>
        </w:numPr>
        <w:spacing w:after="130" w:line="290"/>
      </w:pPr>
      <w:r>
        <w:rPr>
          <w:sz w:val="22"/>
          <w:szCs w:val="22"/>
        </w:rPr>
        <w:t xml:space="preserve">Confirm the training workflow's auto-opened pull request (updating active_model.json) gets a real review before merging — the file lands automatically, but promotion to “active” stays a human decision.</w:t>
      </w:r>
    </w:p>
    <w:p>
      <w:pPr>
        <w:pStyle w:val="Heading3"/>
        <w:spacing w:after="100" w:before="220"/>
      </w:pPr>
      <w:r>
        <w:rPr>
          <w:b/>
          <w:bCs/>
          <w:color w:val="1F3864"/>
          <w:sz w:val="23"/>
          <w:szCs w:val="23"/>
        </w:rPr>
        <w:t xml:space="preserve">Task 10 — Rebuild and Confirm</w:t>
      </w:r>
    </w:p>
    <w:p>
      <w:pPr>
        <w:pStyle w:val="ListParagraph"/>
        <w:numPr>
          <w:ilvl w:val="0"/>
          <w:numId w:val="3"/>
        </w:numPr>
        <w:spacing w:after="130" w:line="290"/>
      </w:pPr>
      <w:r>
        <w:rPr>
          <w:sz w:val="22"/>
          <w:szCs w:val="22"/>
        </w:rPr>
        <w:t xml:space="preserve">Run cargo build --release from physics_core and confirm zero errors.</w:t>
      </w:r>
    </w:p>
    <w:p>
      <w:pPr>
        <w:pStyle w:val="ListParagraph"/>
        <w:numPr>
          <w:ilvl w:val="0"/>
          <w:numId w:val="3"/>
        </w:numPr>
        <w:spacing w:after="130" w:line="290"/>
      </w:pPr>
      <w:r>
        <w:rPr>
          <w:sz w:val="22"/>
          <w:szCs w:val="22"/>
        </w:rPr>
        <w:t xml:space="preserve">Confirm with the Lead Architect that your structural query is correctly reached during a full pipeline integration test, and that an out-of-envelope condition is correctly flagged rather than silently trusted.</w:t>
      </w:r>
    </w:p>
    <w:p>
      <w:pPr>
        <w:pStyle w:val="Heading3"/>
        <w:spacing w:after="100" w:before="220"/>
      </w:pPr>
      <w:r>
        <w:rPr>
          <w:b/>
          <w:bCs/>
          <w:color w:val="1F3864"/>
          <w:sz w:val="23"/>
          <w:szCs w:val="23"/>
        </w:rPr>
        <w:t xml:space="preserve">Task 11 — Plan the Physical Validation Loop</w:t>
      </w:r>
    </w:p>
    <w:p>
      <w:pPr>
        <w:pStyle w:val="ListParagraph"/>
        <w:numPr>
          <w:ilvl w:val="0"/>
          <w:numId w:val="3"/>
        </w:numPr>
        <w:spacing w:after="130" w:line="290"/>
      </w:pPr>
      <w:r>
        <w:rPr>
          <w:sz w:val="22"/>
          <w:szCs w:val="22"/>
        </w:rPr>
        <w:t xml:space="preserve">Document what a real bench load test on a physical frame prototype will need to measure, so that once a prototype exists, someone can directly compare it against your surrogate’s prediction — completing the same three-step validation ladder Dev B follows for propellers.</w:t>
      </w:r>
    </w:p>
    <w:p>
      <w:pPr>
        <w:pStyle w:val="Heading1"/>
        <w:pBdr>
          <w:bottom w:val="single" w:color="2E5395" w:sz="6" w:space="4"/>
        </w:pBdr>
        <w:spacing w:after="200" w:before="400"/>
      </w:pPr>
      <w:r>
        <w:rPr>
          <w:b/>
          <w:bCs/>
          <w:color w:val="1F3864"/>
          <w:sz w:val="30"/>
          <w:szCs w:val="30"/>
        </w:rPr>
        <w:t xml:space="preserve">7. Quick Reference — Full Task Checklist</w:t>
      </w:r>
    </w:p>
    <w:p>
      <w:pPr>
        <w:pStyle w:val="ListParagraph"/>
        <w:numPr>
          <w:ilvl w:val="0"/>
          <w:numId w:val="2"/>
        </w:numPr>
        <w:spacing w:after="100" w:line="290"/>
      </w:pPr>
      <w:r>
        <w:rPr>
          <w:sz w:val="22"/>
          <w:szCs w:val="22"/>
        </w:rPr>
        <w:t xml:space="preserve">Task 1 — FEA tool chosen, installed, basic tutorial case run successfully</w:t>
      </w:r>
    </w:p>
    <w:p>
      <w:pPr>
        <w:pStyle w:val="ListParagraph"/>
        <w:numPr>
          <w:ilvl w:val="0"/>
          <w:numId w:val="2"/>
        </w:numPr>
        <w:spacing w:after="100" w:line="290"/>
      </w:pPr>
      <w:r>
        <w:rPr>
          <w:sz w:val="22"/>
          <w:szCs w:val="22"/>
        </w:rPr>
        <w:t xml:space="preserve">Task 2 — Confirmed Dev B’s CFD pipeline is proven; got their pressure-output format</w:t>
      </w:r>
    </w:p>
    <w:p>
      <w:pPr>
        <w:pStyle w:val="ListParagraph"/>
        <w:numPr>
          <w:ilvl w:val="0"/>
          <w:numId w:val="2"/>
        </w:numPr>
        <w:spacing w:after="100" w:line="290"/>
      </w:pPr>
      <w:r>
        <w:rPr>
          <w:sz w:val="22"/>
          <w:szCs w:val="22"/>
        </w:rPr>
        <w:t xml:space="preserve">Task 3 — Material properties sourced and defined as named constants</w:t>
      </w:r>
    </w:p>
    <w:p>
      <w:pPr>
        <w:pStyle w:val="ListParagraph"/>
        <w:numPr>
          <w:ilvl w:val="0"/>
          <w:numId w:val="2"/>
        </w:numPr>
        <w:spacing w:after="100" w:line="290"/>
      </w:pPr>
      <w:r>
        <w:rPr>
          <w:sz w:val="22"/>
          <w:szCs w:val="22"/>
        </w:rPr>
        <w:t xml:space="preserve">Task 4 — One test structural case run end-to-end, mesh convergence confirmed</w:t>
      </w:r>
    </w:p>
    <w:p>
      <w:pPr>
        <w:pStyle w:val="ListParagraph"/>
        <w:numPr>
          <w:ilvl w:val="0"/>
          <w:numId w:val="2"/>
        </w:numPr>
        <w:spacing w:after="100" w:line="290"/>
      </w:pPr>
      <w:r>
        <w:rPr>
          <w:sz w:val="22"/>
          <w:szCs w:val="22"/>
        </w:rPr>
        <w:t xml:space="preserve">Task 5 — Full structural sweep plan defined (ranges, bootstrap size, case budget)</w:t>
      </w:r>
    </w:p>
    <w:p>
      <w:pPr>
        <w:pStyle w:val="ListParagraph"/>
        <w:numPr>
          <w:ilvl w:val="0"/>
          <w:numId w:val="2"/>
        </w:numPr>
        <w:spacing w:after="100" w:line="290"/>
      </w:pPr>
      <w:r>
        <w:rPr>
          <w:sz w:val="22"/>
          <w:szCs w:val="22"/>
        </w:rPr>
        <w:t xml:space="preserve">Task 6 — Bootstrap cases run, initial surrogate trained</w:t>
      </w:r>
    </w:p>
    <w:p>
      <w:pPr>
        <w:pStyle w:val="ListParagraph"/>
        <w:numPr>
          <w:ilvl w:val="0"/>
          <w:numId w:val="2"/>
        </w:numPr>
        <w:spacing w:after="100" w:line="290"/>
      </w:pPr>
      <w:r>
        <w:rPr>
          <w:sz w:val="22"/>
          <w:szCs w:val="22"/>
        </w:rPr>
        <w:t xml:space="preserve">Task 7 — Active-learning loop run to convergence or case budget</w:t>
      </w:r>
    </w:p>
    <w:p>
      <w:pPr>
        <w:pStyle w:val="ListParagraph"/>
        <w:numPr>
          <w:ilvl w:val="0"/>
          <w:numId w:val="2"/>
        </w:numPr>
        <w:spacing w:after="100" w:line="290"/>
      </w:pPr>
      <w:r>
        <w:rPr>
          <w:sz w:val="22"/>
          <w:szCs w:val="22"/>
        </w:rPr>
        <w:t xml:space="preserve">Task 8 — Final surrogate validated against held-out cases, error reported honestly</w:t>
      </w:r>
    </w:p>
    <w:p>
      <w:pPr>
        <w:pStyle w:val="ListParagraph"/>
        <w:numPr>
          <w:ilvl w:val="0"/>
          <w:numId w:val="2"/>
        </w:numPr>
        <w:spacing w:after="100" w:line="290"/>
      </w:pPr>
      <w:r>
        <w:rPr>
          <w:sz w:val="22"/>
          <w:szCs w:val="22"/>
        </w:rPr>
        <w:t xml:space="preserve">Task 9 — Surrogate exported with embedded provenance metadata, fea_surrogate.rs and structural.rs written, wired into the pipeline, active_model.json PR reviewed and merged</w:t>
      </w:r>
    </w:p>
    <w:p>
      <w:pPr>
        <w:pStyle w:val="ListParagraph"/>
        <w:numPr>
          <w:ilvl w:val="0"/>
          <w:numId w:val="2"/>
        </w:numPr>
        <w:spacing w:after="100" w:line="290"/>
      </w:pPr>
      <w:r>
        <w:rPr>
          <w:sz w:val="22"/>
          <w:szCs w:val="22"/>
        </w:rPr>
        <w:t xml:space="preserve">Task 10 — Full project rebuild confirmed, integration checked with Lead Architect</w:t>
      </w:r>
    </w:p>
    <w:p>
      <w:pPr>
        <w:pStyle w:val="ListParagraph"/>
        <w:numPr>
          <w:ilvl w:val="0"/>
          <w:numId w:val="2"/>
        </w:numPr>
        <w:spacing w:after="100" w:line="290"/>
      </w:pPr>
      <w:r>
        <w:rPr>
          <w:sz w:val="22"/>
          <w:szCs w:val="22"/>
        </w:rPr>
        <w:t xml:space="preserve">Task 11 — Physical bench-test validation plan documented for when a frame prototype exists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abstractNum w:abstractNumId="8" w15:restartNumberingAfterBreak="0">
    <w:multiLevelType w:val="hybridMultilevel"/>
    <w:lvl w:ilvl="0" w15:tentative="1">
      <w:start w:val="1"/>
      <w:numFmt w:val="decimal"/>
      <w:lvlText w:val="%1."/>
      <w:lvlJc w:val="left"/>
      <w:pPr>
        <w:ind w:left="500" w:hanging="320"/>
      </w:pPr>
    </w:lvl>
  </w:abstractNum>
  <w:abstractNum w:abstractNumId="9" w15:restartNumberingAfterBreak="0">
    <w:multiLevelType w:val="hybridMultilevel"/>
    <w:lvl w:ilvl="0" w15:tentative="1">
      <w:start w:val="1"/>
      <w:numFmt w:val="decimal"/>
      <w:lvlText w:val="%1."/>
      <w:lvlJc w:val="left"/>
      <w:pPr>
        <w:ind w:left="500" w:hanging="320"/>
      </w:pPr>
    </w:lvl>
  </w:abstractNum>
  <w:abstractNum w:abstractNumId="10" w15:restartNumberingAfterBreak="0">
    <w:multiLevelType w:val="hybridMultilevel"/>
    <w:lvl w:ilvl="0" w15:tentative="1">
      <w:start w:val="1"/>
      <w:numFmt w:val="decimal"/>
      <w:lvlText w:val="%1."/>
      <w:lvlJc w:val="left"/>
      <w:pPr>
        <w:ind w:left="500" w:hanging="320"/>
      </w:pPr>
    </w:lvl>
  </w:abstractNum>
  <w:abstractNum w:abstractNumId="11" w15:restartNumberingAfterBreak="0">
    <w:multiLevelType w:val="hybridMultilevel"/>
    <w:lvl w:ilvl="0" w15:tentative="1">
      <w:start w:val="1"/>
      <w:numFmt w:val="decimal"/>
      <w:lvlText w:val="%1."/>
      <w:lvlJc w:val="left"/>
      <w:pPr>
        <w:ind w:left="500" w:hanging="320"/>
      </w:pPr>
    </w:lvl>
  </w:abstractNum>
  <w:abstractNum w:abstractNumId="12" w15:restartNumberingAfterBreak="0">
    <w:multiLevelType w:val="hybridMultilevel"/>
    <w:lvl w:ilvl="0" w15:tentative="1">
      <w:start w:val="1"/>
      <w:numFmt w:val="decimal"/>
      <w:lvlText w:val="%1."/>
      <w:lvlJc w:val="left"/>
      <w:pPr>
        <w:ind w:left="500" w:hanging="320"/>
      </w:pPr>
    </w:lvl>
  </w:abstractNum>
  <w:abstractNum w:abstractNumId="13" w15:restartNumberingAfterBreak="0">
    <w:multiLevelType w:val="hybridMultilevel"/>
    <w:lvl w:ilvl="0" w15:tentative="1">
      <w:start w:val="1"/>
      <w:numFmt w:val="decimal"/>
      <w:lvlText w:val="%1."/>
      <w:lvlJc w:val="left"/>
      <w:pPr>
        <w:ind w:left="500" w:hanging="320"/>
      </w:pPr>
    </w:lvl>
  </w:abstractNum>
  <w:abstractNum w:abstractNumId="14" w15:restartNumberingAfterBreak="0">
    <w:multiLevelType w:val="hybridMultilevel"/>
    <w:lvl w:ilvl="0" w15:tentative="1">
      <w:start w:val="1"/>
      <w:numFmt w:val="decimal"/>
      <w:lvlText w:val="%1."/>
      <w:lvlJc w:val="left"/>
      <w:pPr>
        <w:ind w:left="500" w:hanging="320"/>
      </w:pPr>
    </w:lvl>
  </w:abstractNum>
  <w:abstractNum w:abstractNumId="15" w15:restartNumberingAfterBreak="0">
    <w:multiLevelType w:val="hybridMultilevel"/>
    <w:lvl w:ilvl="0" w15:tentative="1">
      <w:start w:val="1"/>
      <w:numFmt w:val="decimal"/>
      <w:lvlText w:val="%1."/>
      <w:lvlJc w:val="left"/>
      <w:pPr>
        <w:ind w:left="500" w:hanging="320"/>
      </w:pPr>
    </w:lvl>
  </w:abstractNum>
  <w:abstractNum w:abstractNumId="16" w15:restartNumberingAfterBreak="0">
    <w:multiLevelType w:val="hybridMultilevel"/>
    <w:lvl w:ilvl="0" w15:tentative="1">
      <w:start w:val="1"/>
      <w:numFmt w:val="decimal"/>
      <w:lvlText w:val="%1."/>
      <w:lvlJc w:val="left"/>
      <w:pPr>
        <w:ind w:left="500" w:hanging="320"/>
      </w:pPr>
    </w:lvl>
  </w:abstractNum>
  <w:abstractNum w:abstractNumId="17" w15:restartNumberingAfterBreak="0">
    <w:multiLevelType w:val="hybridMultilevel"/>
    <w:lvl w:ilvl="0" w15:tentative="1">
      <w:start w:val="1"/>
      <w:numFmt w:val="decimal"/>
      <w:lvlText w:val="%1."/>
      <w:lvlJc w:val="left"/>
      <w:pPr>
        <w:ind w:left="500" w:hanging="320"/>
      </w:pPr>
    </w:lvl>
  </w:abstractNum>
  <w:abstractNum w:abstractNumId="18" w15:restartNumberingAfterBreak="0">
    <w:multiLevelType w:val="hybridMultilevel"/>
    <w:lvl w:ilvl="0" w15:tentative="1">
      <w:start w:val="1"/>
      <w:numFmt w:val="decimal"/>
      <w:lvlText w:val="%1."/>
      <w:lvlJc w:val="left"/>
      <w:pPr>
        <w:ind w:left="500" w:hanging="320"/>
      </w:pPr>
    </w:lvl>
  </w:abstractNum>
  <w:abstractNum w:abstractNumId="19" w15:restartNumberingAfterBreak="0">
    <w:multiLevelType w:val="hybridMultilevel"/>
    <w:lvl w:ilvl="0" w15:tentative="1">
      <w:start w:val="1"/>
      <w:numFmt w:val="decimal"/>
      <w:lvlText w:val="%1."/>
      <w:lvlJc w:val="left"/>
      <w:pPr>
        <w:ind w:left="500" w:hanging="320"/>
      </w:pPr>
    </w:lvl>
  </w:abstractNum>
  <w:abstractNum w:abstractNumId="20" w15:restartNumberingAfterBreak="0">
    <w:multiLevelType w:val="hybridMultilevel"/>
    <w:lvl w:ilvl="0" w15:tentative="1">
      <w:start w:val="1"/>
      <w:numFmt w:val="decimal"/>
      <w:lvlText w:val="%1."/>
      <w:lvlJc w:val="left"/>
      <w:pPr>
        <w:ind w:left="500" w:hanging="320"/>
      </w:pPr>
    </w:lvl>
  </w:abstractNum>
  <w:abstractNum w:abstractNumId="21" w15:restartNumberingAfterBreak="0">
    <w:multiLevelType w:val="hybridMultilevel"/>
    <w:lvl w:ilvl="0" w15:tentative="1">
      <w:start w:val="1"/>
      <w:numFmt w:val="decimal"/>
      <w:lvlText w:val="%1."/>
      <w:lvlJc w:val="left"/>
      <w:pPr>
        <w:ind w:left="500" w:hanging="320"/>
      </w:pPr>
    </w:lvl>
  </w:abstractNum>
  <w:abstractNum w:abstractNumId="22"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2026-08-07T03:50:35.335Z</dcterms:created>
  <dcterms:modified xsi:type="dcterms:W3CDTF">2026-08-07T03:50:35.335Z</dcterms:modified>
</cp:coreProperties>
</file>

<file path=docProps/custom.xml><?xml version="1.0" encoding="utf-8"?>
<Properties xmlns="http://schemas.openxmlformats.org/officeDocument/2006/custom-properties" xmlns:vt="http://schemas.openxmlformats.org/officeDocument/2006/docPropsVTypes"/>
</file>