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3 (“Dev B”) — Testing &amp; Debugging Guide</w:t>
      </w:r>
    </w:p>
    <w:p>
      <w:pPr>
        <w:spacing w:before="150"/>
        <w:jc w:val="center"/>
      </w:pPr>
      <w:r>
        <w:rPr>
          <w:i/>
          <w:iCs/>
          <w:color w:val="595959"/>
          <w:sz w:val="22"/>
          <w:szCs w:val="22"/>
        </w:rPr>
        <w:t xml:space="preserve">Companion to: Phase 2 Dev B (CFD) Build Guide. Tools: FluidX3D, Python, RustRover.</w:t>
      </w:r>
    </w:p>
    <w:p>
      <w:pPr>
        <w:pBdr>
          <w:top w:val="single" w:color="2E5395" w:sz="6" w:space="8"/>
        </w:pBdr>
        <w:spacing w:before="500"/>
        <w:jc w:val="center"/>
      </w:pPr>
      <w:r>
        <w:rPr>
          <w:color w:val="595959"/>
          <w:sz w:val="22"/>
          <w:szCs w:val="22"/>
        </w:rPr>
        <w:t xml:space="preserve">Verifies FluidX3D methodology against real UIUC data, the aero surrogate, its provenance, and aero.rs — to Tier F rigor.</w:t>
      </w:r>
    </w:p>
    <w:p>
      <w:r>
        <w:br w:type="page"/>
      </w:r>
    </w:p>
    <w:p>
      <w:pPr>
        <w:pStyle w:val="Heading1"/>
        <w:pBdr>
          <w:bottom w:val="single" w:color="2E5395" w:sz="6" w:space="4"/>
        </w:pBdr>
        <w:spacing w:after="200" w:before="400"/>
      </w:pPr>
      <w:r>
        <w:rPr>
          <w:b/>
          <w:bCs/>
          <w:color w:val="1F3864"/>
          <w:sz w:val="30"/>
          <w:szCs w:val="30"/>
        </w:rPr>
        <w:t xml:space="preserve">1. How to Use This Document</w:t>
      </w:r>
    </w:p>
    <w:p>
      <w:pPr>
        <w:spacing w:after="160" w:line="300"/>
      </w:pPr>
      <w:r>
        <w:rPr>
          <w:sz w:val="22"/>
          <w:szCs w:val="22"/>
        </w:rPr>
        <w:t xml:space="preserve">Your Build Guide told you how to build a validated CFD-to-surrogate pipeline. This document tells you how to actually know it's correct — not “the case ran and produced numbers,” but “those numbers match real, physically measured reality within a stated, honest tolerance.” Per the Standards Framework, aero.rs and its surrogate are Tier F: they directly determine simulated flight behavior, and the project's entire 1:1 sim-to-reality goal rests on this module specifically. Every test below traces to a row in TRACEABILITY.md.</w:t>
      </w:r>
    </w:p>
    <w:p>
      <w:pPr>
        <w:pStyle w:val="ListParagraph"/>
        <w:numPr>
          <w:ilvl w:val="0"/>
          <w:numId w:val="2"/>
        </w:numPr>
        <w:spacing w:after="100" w:line="290"/>
      </w:pPr>
      <w:r>
        <w:rPr>
          <w:sz w:val="22"/>
          <w:szCs w:val="22"/>
        </w:rPr>
        <w:t xml:space="preserve">Section 2 sets up FluidX3D and RustRover for this work.</w:t>
      </w:r>
    </w:p>
    <w:p>
      <w:pPr>
        <w:pStyle w:val="ListParagraph"/>
        <w:numPr>
          <w:ilvl w:val="0"/>
          <w:numId w:val="2"/>
        </w:numPr>
        <w:spacing w:after="100" w:line="290"/>
      </w:pPr>
      <w:r>
        <w:rPr>
          <w:sz w:val="22"/>
          <w:szCs w:val="22"/>
        </w:rPr>
        <w:t xml:space="preserve">Section 3 is a quick check after each Build Guide task.</w:t>
      </w:r>
    </w:p>
    <w:p>
      <w:pPr>
        <w:pStyle w:val="ListParagraph"/>
        <w:numPr>
          <w:ilvl w:val="0"/>
          <w:numId w:val="2"/>
        </w:numPr>
        <w:spacing w:after="100" w:line="290"/>
      </w:pPr>
      <w:r>
        <w:rPr>
          <w:sz w:val="22"/>
          <w:szCs w:val="22"/>
        </w:rPr>
        <w:t xml:space="preserve">Section 4 is debugging method plus a symptom → cause table.</w:t>
      </w:r>
    </w:p>
    <w:p>
      <w:pPr>
        <w:pStyle w:val="ListParagraph"/>
        <w:numPr>
          <w:ilvl w:val="0"/>
          <w:numId w:val="2"/>
        </w:numPr>
        <w:spacing w:after="100" w:line="290"/>
      </w:pPr>
      <w:r>
        <w:rPr>
          <w:sz w:val="22"/>
          <w:szCs w:val="22"/>
        </w:rPr>
        <w:t xml:space="preserve">Section 5 is the Master Test List: real-world validation, mesh convergence, surrogate isolation, provenance, and full pipeline integration.</w:t>
      </w:r>
    </w:p>
    <w:p>
      <w:pPr>
        <w:pStyle w:val="ListParagraph"/>
        <w:numPr>
          <w:ilvl w:val="0"/>
          <w:numId w:val="2"/>
        </w:numPr>
        <w:spacing w:after="100" w:line="290"/>
      </w:pPr>
      <w:r>
        <w:rPr>
          <w:sz w:val="22"/>
          <w:szCs w:val="22"/>
        </w:rPr>
        <w:t xml:space="preserve">Section 6 is the sign-off checklist.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The single most important test in this entire document is UIUC validation (Group B). Everything else — the surrogate, the active-learning loop, the FFI wiring — is worthless if the underlying CFD setup doesn't actually reflect real air. Don't let later, easier-feeling tests distract from getting this one genuinely right.</w:t>
      </w:r>
    </w:p>
    <w:p>
      <w:pPr>
        <w:pStyle w:val="Heading1"/>
        <w:pBdr>
          <w:bottom w:val="single" w:color="2E5395" w:sz="6" w:space="4"/>
        </w:pBdr>
        <w:spacing w:after="200" w:before="400"/>
      </w:pPr>
      <w:r>
        <w:rPr>
          <w:b/>
          <w:bCs/>
          <w:color w:val="1F3864"/>
          <w:sz w:val="30"/>
          <w:szCs w:val="30"/>
        </w:rPr>
        <w:t xml:space="preserve">2. Setting Up FluidX3D and RustRover for This Work</w:t>
      </w:r>
    </w:p>
    <w:p>
      <w:pPr>
        <w:spacing w:after="160" w:line="300"/>
      </w:pPr>
      <w:r>
        <w:rPr>
          <w:sz w:val="22"/>
          <w:szCs w:val="22"/>
        </w:rPr>
        <w:t xml:space="preserve">Keep a dedicated, version-controlled folder of your UIUC validation case setup separate from your production sweep cases — you'll re-run this validation case any time you change mesh resolution, solver settings, or FluidX3D itself, and you want that comparison to be exact and repeatable, not reconstructed from memory each time.</w:t>
      </w:r>
    </w:p>
    <w:p>
      <w:pPr>
        <w:pStyle w:val="Heading1"/>
        <w:pBdr>
          <w:bottom w:val="single" w:color="2E5395" w:sz="6" w:space="4"/>
        </w:pBdr>
        <w:spacing w:after="200" w:before="400"/>
      </w:pPr>
      <w:r>
        <w:rPr>
          <w:b/>
          <w:bCs/>
          <w:color w:val="1F3864"/>
          <w:sz w:val="30"/>
          <w:szCs w:val="30"/>
        </w:rPr>
        <w:t xml:space="preserve">3. Testing Checkpoints — After Each Build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shd w:fill="2E5395" w:val="clear"/>
            <w:tcMar>
              <w:top w:type="dxa" w:w="80"/>
              <w:left w:type="dxa" w:w="120"/>
              <w:bottom w:type="dxa" w:w="80"/>
              <w:right w:type="dxa" w:w="120"/>
            </w:tcMar>
            <w:vAlign w:val="center"/>
          </w:tcPr>
          <w:p>
            <w:r>
              <w:rPr>
                <w:b/>
                <w:bCs/>
                <w:color w:val="FFFFFF"/>
                <w:sz w:val="20"/>
                <w:szCs w:val="20"/>
              </w:rPr>
              <w:t xml:space="preserve">After Task</w:t>
            </w:r>
          </w:p>
        </w:tc>
        <w:tc>
          <w:tcPr>
            <w:tcW w:type="dxa" w:w="3744"/>
            <w:shd w:fill="2E5395" w:val="clear"/>
            <w:tcMar>
              <w:top w:type="dxa" w:w="80"/>
              <w:left w:type="dxa" w:w="120"/>
              <w:bottom w:type="dxa" w:w="80"/>
              <w:right w:type="dxa" w:w="120"/>
            </w:tcMar>
            <w:vAlign w:val="center"/>
          </w:tcPr>
          <w:p>
            <w:r>
              <w:rPr>
                <w:b/>
                <w:bCs/>
                <w:color w:val="FFFFFF"/>
                <w:sz w:val="20"/>
                <w:szCs w:val="20"/>
              </w:rPr>
              <w:t xml:space="preserve">Quick Check</w:t>
            </w:r>
          </w:p>
        </w:tc>
        <w:tc>
          <w:tcPr>
            <w:tcW w:type="dxa" w:w="3182"/>
            <w:shd w:fill="2E5395" w:val="clear"/>
            <w:tcMar>
              <w:top w:type="dxa" w:w="80"/>
              <w:left w:type="dxa" w:w="120"/>
              <w:bottom w:type="dxa" w:w="80"/>
              <w:right w:type="dxa" w:w="120"/>
            </w:tcMar>
            <w:vAlign w:val="center"/>
          </w:tcPr>
          <w:p>
            <w:r>
              <w:rPr>
                <w:b/>
                <w:bCs/>
                <w:color w:val="FFFFFF"/>
                <w:sz w:val="20"/>
                <w:szCs w:val="20"/>
              </w:rPr>
              <w:t xml:space="preserve">Expected</w:t>
            </w:r>
          </w:p>
        </w:tc>
      </w:tr>
      <w:tr>
        <w:tc>
          <w:tcPr>
            <w:tcW w:type="dxa" w:w="2434"/>
            <w:shd w:fill="FFFFFF" w:val="clear"/>
            <w:tcMar>
              <w:top w:type="dxa" w:w="80"/>
              <w:left w:type="dxa" w:w="120"/>
              <w:bottom w:type="dxa" w:w="80"/>
              <w:right w:type="dxa" w:w="120"/>
            </w:tcMar>
            <w:vAlign w:val="center"/>
          </w:tcPr>
          <w:p>
            <w:r>
              <w:rPr>
                <w:b w:val="false"/>
                <w:bCs w:val="false"/>
                <w:color w:val="000000"/>
                <w:sz w:val="20"/>
                <w:szCs w:val="20"/>
              </w:rPr>
              <w:t xml:space="preserve">1 (FluidX3D benchmarked)</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Note the real MLUPs/s number</w:t>
            </w:r>
          </w:p>
        </w:tc>
        <w:tc>
          <w:tcPr>
            <w:tcW w:type="dxa" w:w="3182"/>
            <w:shd w:fill="FFFFFF" w:val="clear"/>
            <w:tcMar>
              <w:top w:type="dxa" w:w="80"/>
              <w:left w:type="dxa" w:w="120"/>
              <w:bottom w:type="dxa" w:w="80"/>
              <w:right w:type="dxa" w:w="120"/>
            </w:tcMar>
            <w:vAlign w:val="center"/>
          </w:tcPr>
          <w:p>
            <w:r>
              <w:rPr>
                <w:b w:val="false"/>
                <w:bCs w:val="false"/>
                <w:color w:val="000000"/>
                <w:sz w:val="20"/>
                <w:szCs w:val="20"/>
              </w:rPr>
              <w:t xml:space="preserve">A real, measured number — not an estimate — used for every later time budget</w:t>
            </w:r>
          </w:p>
        </w:tc>
      </w:tr>
      <w:tr>
        <w:tc>
          <w:tcPr>
            <w:tcW w:type="dxa" w:w="2434"/>
            <w:shd w:fill="F5F8FC" w:val="clear"/>
            <w:tcMar>
              <w:top w:type="dxa" w:w="80"/>
              <w:left w:type="dxa" w:w="120"/>
              <w:bottom w:type="dxa" w:w="80"/>
              <w:right w:type="dxa" w:w="120"/>
            </w:tcMar>
            <w:vAlign w:val="center"/>
          </w:tcPr>
          <w:p>
            <w:r>
              <w:rPr>
                <w:sz w:val="20"/>
                <w:szCs w:val="20"/>
              </w:rPr>
              <w:t xml:space="preserve">3 (first test case, mesh convergence)</w:t>
            </w:r>
          </w:p>
        </w:tc>
        <w:tc>
          <w:tcPr>
            <w:tcW w:type="dxa" w:w="3744"/>
            <w:shd w:fill="F5F8FC" w:val="clear"/>
            <w:tcMar>
              <w:top w:type="dxa" w:w="80"/>
              <w:left w:type="dxa" w:w="120"/>
              <w:bottom w:type="dxa" w:w="80"/>
              <w:right w:type="dxa" w:w="120"/>
            </w:tcMar>
            <w:vAlign w:val="center"/>
          </w:tcPr>
          <w:p>
            <w:r>
              <w:rPr>
                <w:sz w:val="20"/>
                <w:szCs w:val="20"/>
              </w:rPr>
              <w:t xml:space="preserve">Compare two mesh resolutions</w:t>
            </w:r>
          </w:p>
        </w:tc>
        <w:tc>
          <w:tcPr>
            <w:tcW w:type="dxa" w:w="3182"/>
            <w:shd w:fill="F5F8FC" w:val="clear"/>
            <w:tcMar>
              <w:top w:type="dxa" w:w="80"/>
              <w:left w:type="dxa" w:w="120"/>
              <w:bottom w:type="dxa" w:w="80"/>
              <w:right w:type="dxa" w:w="120"/>
            </w:tcMar>
            <w:vAlign w:val="center"/>
          </w:tcPr>
          <w:p>
            <w:r>
              <w:rPr>
                <w:sz w:val="20"/>
                <w:szCs w:val="20"/>
              </w:rPr>
              <w:t xml:space="preserve">Answer changes by less than 2% at the finest resolution tested</w:t>
            </w:r>
          </w:p>
        </w:tc>
      </w:tr>
      <w:tr>
        <w:tc>
          <w:tcPr>
            <w:tcW w:type="dxa" w:w="2434"/>
            <w:shd w:fill="FFFFFF" w:val="clear"/>
            <w:tcMar>
              <w:top w:type="dxa" w:w="80"/>
              <w:left w:type="dxa" w:w="120"/>
              <w:bottom w:type="dxa" w:w="80"/>
              <w:right w:type="dxa" w:w="120"/>
            </w:tcMar>
            <w:vAlign w:val="center"/>
          </w:tcPr>
          <w:p>
            <w:r>
              <w:rPr>
                <w:b w:val="false"/>
                <w:bCs w:val="false"/>
                <w:color w:val="000000"/>
                <w:sz w:val="20"/>
                <w:szCs w:val="20"/>
              </w:rPr>
              <w:t xml:space="preserve">6 (initial surrogate)</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Query on a held-back bootstrap point</w:t>
            </w:r>
          </w:p>
        </w:tc>
        <w:tc>
          <w:tcPr>
            <w:tcW w:type="dxa" w:w="3182"/>
            <w:shd w:fill="FFFFFF" w:val="clear"/>
            <w:tcMar>
              <w:top w:type="dxa" w:w="80"/>
              <w:left w:type="dxa" w:w="120"/>
              <w:bottom w:type="dxa" w:w="80"/>
              <w:right w:type="dxa" w:w="120"/>
            </w:tcMar>
            <w:vAlign w:val="center"/>
          </w:tcPr>
          <w:p>
            <w:r>
              <w:rPr>
                <w:b w:val="false"/>
                <w:bCs w:val="false"/>
                <w:color w:val="000000"/>
                <w:sz w:val="20"/>
                <w:szCs w:val="20"/>
              </w:rPr>
              <w:t xml:space="preserve">Produces a prediction and a non-zero uncertainty</w:t>
            </w:r>
          </w:p>
        </w:tc>
      </w:tr>
      <w:tr>
        <w:tc>
          <w:tcPr>
            <w:tcW w:type="dxa" w:w="2434"/>
            <w:shd w:fill="F5F8FC" w:val="clear"/>
            <w:tcMar>
              <w:top w:type="dxa" w:w="80"/>
              <w:left w:type="dxa" w:w="120"/>
              <w:bottom w:type="dxa" w:w="80"/>
              <w:right w:type="dxa" w:w="120"/>
            </w:tcMar>
            <w:vAlign w:val="center"/>
          </w:tcPr>
          <w:p>
            <w:r>
              <w:rPr>
                <w:sz w:val="20"/>
                <w:szCs w:val="20"/>
              </w:rPr>
              <w:t xml:space="preserve">8 (validated surrogate)</w:t>
            </w:r>
          </w:p>
        </w:tc>
        <w:tc>
          <w:tcPr>
            <w:tcW w:type="dxa" w:w="3744"/>
            <w:shd w:fill="F5F8FC" w:val="clear"/>
            <w:tcMar>
              <w:top w:type="dxa" w:w="80"/>
              <w:left w:type="dxa" w:w="120"/>
              <w:bottom w:type="dxa" w:w="80"/>
              <w:right w:type="dxa" w:w="120"/>
            </w:tcMar>
            <w:vAlign w:val="center"/>
          </w:tcPr>
          <w:p>
            <w:r>
              <w:rPr>
                <w:sz w:val="20"/>
                <w:szCs w:val="20"/>
              </w:rPr>
              <w:t xml:space="preserve">Held-out error reported</w:t>
            </w:r>
          </w:p>
        </w:tc>
        <w:tc>
          <w:tcPr>
            <w:tcW w:type="dxa" w:w="3182"/>
            <w:shd w:fill="F5F8FC" w:val="clear"/>
            <w:tcMar>
              <w:top w:type="dxa" w:w="80"/>
              <w:left w:type="dxa" w:w="120"/>
              <w:bottom w:type="dxa" w:w="80"/>
              <w:right w:type="dxa" w:w="120"/>
            </w:tcMar>
            <w:vAlign w:val="center"/>
          </w:tcPr>
          <w:p>
            <w:r>
              <w:rPr>
                <w:sz w:val="20"/>
                <w:szCs w:val="20"/>
              </w:rPr>
              <w:t xml:space="preserve">A specific, documented percentage, not an impression</w:t>
            </w:r>
          </w:p>
        </w:tc>
      </w:tr>
      <w:tr>
        <w:tc>
          <w:tcPr>
            <w:tcW w:type="dxa" w:w="2434"/>
            <w:shd w:fill="FFFFFF" w:val="clear"/>
            <w:tcMar>
              <w:top w:type="dxa" w:w="80"/>
              <w:left w:type="dxa" w:w="120"/>
              <w:bottom w:type="dxa" w:w="80"/>
              <w:right w:type="dxa" w:w="120"/>
            </w:tcMar>
            <w:vAlign w:val="center"/>
          </w:tcPr>
          <w:p>
            <w:r>
              <w:rPr>
                <w:b w:val="false"/>
                <w:bCs w:val="false"/>
                <w:color w:val="000000"/>
                <w:sz w:val="20"/>
                <w:szCs w:val="20"/>
              </w:rPr>
              <w:t xml:space="preserve">9 (export)</w:t>
            </w:r>
          </w:p>
        </w:tc>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Exported model has all 4 metadata fields</w:t>
            </w:r>
          </w:p>
        </w:tc>
        <w:tc>
          <w:tcPr>
            <w:tcW w:type="dxa" w:w="3182"/>
            <w:shd w:fill="FFFFFF" w:val="clear"/>
            <w:tcMar>
              <w:top w:type="dxa" w:w="80"/>
              <w:left w:type="dxa" w:w="120"/>
              <w:bottom w:type="dxa" w:w="80"/>
              <w:right w:type="dxa" w:w="120"/>
            </w:tcMar>
            <w:vAlign w:val="center"/>
          </w:tcPr>
          <w:p>
            <w:r>
              <w:rPr>
                <w:b w:val="false"/>
                <w:bCs w:val="false"/>
                <w:color w:val="000000"/>
                <w:sz w:val="20"/>
                <w:szCs w:val="20"/>
              </w:rPr>
              <w:t xml:space="preserve">geometry_hash, design_revision, trained_at_utc, trained_by present</w:t>
            </w:r>
          </w:p>
        </w:tc>
      </w:tr>
    </w:tbl>
    <w:p>
      <w:pPr>
        <w:pStyle w:val="Heading1"/>
        <w:pBdr>
          <w:bottom w:val="single" w:color="2E5395" w:sz="6" w:space="4"/>
        </w:pBdr>
        <w:spacing w:after="200" w:before="400"/>
      </w:pPr>
      <w:r>
        <w:rPr>
          <w:b/>
          <w:bCs/>
          <w:color w:val="1F3864"/>
          <w:sz w:val="30"/>
          <w:szCs w:val="30"/>
        </w:rPr>
        <w:t xml:space="preserve">4. General Debugging Method</w:t>
      </w:r>
    </w:p>
    <w:p>
      <w:pPr>
        <w:pStyle w:val="ListParagraph"/>
        <w:numPr>
          <w:ilvl w:val="0"/>
          <w:numId w:val="2"/>
        </w:numPr>
        <w:spacing w:after="100" w:line="290"/>
      </w:pPr>
      <w:r>
        <w:rPr>
          <w:sz w:val="22"/>
          <w:szCs w:val="22"/>
        </w:rPr>
        <w:t xml:space="preserve">If a case's result looks physically implausible, check the case setup (angle, speed, orientation) before doubting the solver — a mislabeled case is far more common than a genuine solver bug.</w:t>
      </w:r>
    </w:p>
    <w:p>
      <w:pPr>
        <w:pStyle w:val="ListParagraph"/>
        <w:numPr>
          <w:ilvl w:val="0"/>
          <w:numId w:val="2"/>
        </w:numPr>
        <w:spacing w:after="100" w:line="290"/>
      </w:pPr>
      <w:r>
        <w:rPr>
          <w:sz w:val="22"/>
          <w:szCs w:val="22"/>
        </w:rPr>
        <w:t xml:space="preserve">For a mesh convergence failure, check for ungridded geometry detail (a sharp edge or thin section) needing local refinement before assuming global resolution is the problem.</w:t>
      </w:r>
    </w:p>
    <w:p>
      <w:pPr>
        <w:pStyle w:val="ListParagraph"/>
        <w:numPr>
          <w:ilvl w:val="0"/>
          <w:numId w:val="2"/>
        </w:numPr>
        <w:spacing w:after="100" w:line="290"/>
      </w:pPr>
      <w:r>
        <w:rPr>
          <w:sz w:val="22"/>
          <w:szCs w:val="22"/>
        </w:rPr>
        <w:t xml:space="preserve">For a surrogate discrepancy, always check whether it's a training-data gap (Section 5, Group C) versus a genuine CFD-vs-reality gap (Group B) — they need completely different fixes.</w:t>
      </w:r>
    </w:p>
    <w:p>
      <w:pPr>
        <w:pStyle w:val="ListParagraph"/>
        <w:numPr>
          <w:ilvl w:val="0"/>
          <w:numId w:val="2"/>
        </w:numPr>
        <w:spacing w:after="100" w:line="290"/>
      </w:pPr>
      <w:r>
        <w:rPr>
          <w:sz w:val="22"/>
          <w:szCs w:val="22"/>
        </w:rPr>
        <w:t xml:space="preserve">After any fix, re-run the entire Master Test List, not just the failing test.</w:t>
      </w:r>
    </w:p>
    <w:p>
      <w:pPr>
        <w:pStyle w:val="Heading3"/>
        <w:spacing w:after="100" w:before="220"/>
      </w:pPr>
      <w:r>
        <w:rPr>
          <w:b/>
          <w:bCs/>
          <w:color w:val="1F3864"/>
          <w:sz w:val="23"/>
          <w:szCs w:val="23"/>
        </w:rPr>
        <w:t xml:space="preserve">Symptom → Likely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Symptom</w:t>
            </w:r>
          </w:p>
        </w:tc>
        <w:tc>
          <w:tcPr>
            <w:tcW w:type="dxa" w:w="3276"/>
            <w:shd w:fill="2E5395" w:val="clear"/>
            <w:tcMar>
              <w:top w:type="dxa" w:w="80"/>
              <w:left w:type="dxa" w:w="120"/>
              <w:bottom w:type="dxa" w:w="80"/>
              <w:right w:type="dxa" w:w="120"/>
            </w:tcMar>
            <w:vAlign w:val="center"/>
          </w:tcPr>
          <w:p>
            <w:r>
              <w:rPr>
                <w:b/>
                <w:bCs/>
                <w:color w:val="FFFFFF"/>
                <w:sz w:val="20"/>
                <w:szCs w:val="20"/>
              </w:rPr>
              <w:t xml:space="preserve">Likely Cause</w:t>
            </w:r>
          </w:p>
        </w:tc>
        <w:tc>
          <w:tcPr>
            <w:tcW w:type="dxa" w:w="3276"/>
            <w:shd w:fill="2E5395" w:val="clear"/>
            <w:tcMar>
              <w:top w:type="dxa" w:w="80"/>
              <w:left w:type="dxa" w:w="120"/>
              <w:bottom w:type="dxa" w:w="80"/>
              <w:right w:type="dxa" w:w="120"/>
            </w:tcMar>
            <w:vAlign w:val="center"/>
          </w:tcPr>
          <w:p>
            <w:r>
              <w:rPr>
                <w:b/>
                <w:bCs/>
                <w:color w:val="FFFFFF"/>
                <w:sz w:val="20"/>
                <w:szCs w:val="20"/>
              </w:rPr>
              <w:t xml:space="preserve">Check</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UIUC comparison is way off, in one consistent direction</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A unit or sign convention mismatch (RPM vs rad/s, thrust direction)</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Recheck every unit at the case setup boundary against UIUC's documented units exactly</w:t>
            </w:r>
          </w:p>
        </w:tc>
      </w:tr>
      <w:tr>
        <w:tc>
          <w:tcPr>
            <w:tcW w:type="dxa" w:w="2808"/>
            <w:shd w:fill="F5F8FC" w:val="clear"/>
            <w:tcMar>
              <w:top w:type="dxa" w:w="80"/>
              <w:left w:type="dxa" w:w="120"/>
              <w:bottom w:type="dxa" w:w="80"/>
              <w:right w:type="dxa" w:w="120"/>
            </w:tcMar>
            <w:vAlign w:val="center"/>
          </w:tcPr>
          <w:p>
            <w:r>
              <w:rPr>
                <w:sz w:val="20"/>
                <w:szCs w:val="20"/>
              </w:rPr>
              <w:t xml:space="preserve">Surrogate confidently wrong on a specific flight regime</w:t>
            </w:r>
          </w:p>
        </w:tc>
        <w:tc>
          <w:tcPr>
            <w:tcW w:type="dxa" w:w="3276"/>
            <w:shd w:fill="F5F8FC" w:val="clear"/>
            <w:tcMar>
              <w:top w:type="dxa" w:w="80"/>
              <w:left w:type="dxa" w:w="120"/>
              <w:bottom w:type="dxa" w:w="80"/>
              <w:right w:type="dxa" w:w="120"/>
            </w:tcMar>
            <w:vAlign w:val="center"/>
          </w:tcPr>
          <w:p>
            <w:r>
              <w:rPr>
                <w:sz w:val="20"/>
                <w:szCs w:val="20"/>
              </w:rPr>
              <w:t xml:space="preserve">Training data sparse in that regime; active learning didn't sample it</w:t>
            </w:r>
          </w:p>
        </w:tc>
        <w:tc>
          <w:tcPr>
            <w:tcW w:type="dxa" w:w="3276"/>
            <w:shd w:fill="F5F8FC" w:val="clear"/>
            <w:tcMar>
              <w:top w:type="dxa" w:w="80"/>
              <w:left w:type="dxa" w:w="120"/>
              <w:bottom w:type="dxa" w:w="80"/>
              <w:right w:type="dxa" w:w="120"/>
            </w:tcMar>
            <w:vAlign w:val="center"/>
          </w:tcPr>
          <w:p>
            <w:r>
              <w:rPr>
                <w:sz w:val="20"/>
                <w:szCs w:val="20"/>
              </w:rPr>
              <w:t xml:space="preserve">Check case density in that specific angle/speed region before retraining blindly</w:t>
            </w:r>
          </w:p>
        </w:tc>
      </w:tr>
      <w:t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Case never reaches a stable result</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Insufficient timesteps for that geometry to settle, or an unstable solver setting</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Increase timesteps first; this is the most common cause, not a deeper bug</w:t>
            </w:r>
          </w:p>
        </w:tc>
      </w:tr>
      <w:tr>
        <w:tc>
          <w:tcPr>
            <w:tcW w:type="dxa" w:w="2808"/>
            <w:shd w:fill="F5F8FC" w:val="clear"/>
            <w:tcMar>
              <w:top w:type="dxa" w:w="80"/>
              <w:left w:type="dxa" w:w="120"/>
              <w:bottom w:type="dxa" w:w="80"/>
              <w:right w:type="dxa" w:w="120"/>
            </w:tcMar>
            <w:vAlign w:val="center"/>
          </w:tcPr>
          <w:p>
            <w:r>
              <w:rPr>
                <w:sz w:val="20"/>
                <w:szCs w:val="20"/>
              </w:rPr>
              <w:t xml:space="preserve">Provenance metadata missing on export</w:t>
            </w:r>
          </w:p>
        </w:tc>
        <w:tc>
          <w:tcPr>
            <w:tcW w:type="dxa" w:w="3276"/>
            <w:shd w:fill="F5F8FC" w:val="clear"/>
            <w:tcMar>
              <w:top w:type="dxa" w:w="80"/>
              <w:left w:type="dxa" w:w="120"/>
              <w:bottom w:type="dxa" w:w="80"/>
              <w:right w:type="dxa" w:w="120"/>
            </w:tcMar>
            <w:vAlign w:val="center"/>
          </w:tcPr>
          <w:p>
            <w:r>
              <w:rPr>
                <w:sz w:val="20"/>
                <w:szCs w:val="20"/>
              </w:rPr>
              <w:t xml:space="preserve">Training run manually instead of through train-surrogate.yml</w:t>
            </w:r>
          </w:p>
        </w:tc>
        <w:tc>
          <w:tcPr>
            <w:tcW w:type="dxa" w:w="3276"/>
            <w:shd w:fill="F5F8FC" w:val="clear"/>
            <w:tcMar>
              <w:top w:type="dxa" w:w="80"/>
              <w:left w:type="dxa" w:w="120"/>
              <w:bottom w:type="dxa" w:w="80"/>
              <w:right w:type="dxa" w:w="120"/>
            </w:tcMar>
            <w:vAlign w:val="center"/>
          </w:tcPr>
          <w:p>
            <w:r>
              <w:rPr>
                <w:sz w:val="20"/>
                <w:szCs w:val="20"/>
              </w:rPr>
              <w:t xml:space="preserve">Re-run through the automated workflow</w:t>
            </w:r>
          </w:p>
        </w:tc>
      </w:tr>
    </w:tbl>
    <w:p>
      <w:pPr>
        <w:pStyle w:val="Heading1"/>
        <w:pBdr>
          <w:bottom w:val="single" w:color="2E5395" w:sz="6" w:space="4"/>
        </w:pBdr>
        <w:spacing w:after="200" w:before="400"/>
      </w:pPr>
      <w:r>
        <w:rPr>
          <w:b/>
          <w:bCs/>
          <w:color w:val="1F3864"/>
          <w:sz w:val="30"/>
          <w:szCs w:val="30"/>
        </w:rPr>
        <w:t xml:space="preserve">5. Master Test List</w:t>
      </w:r>
    </w:p>
    <w:p>
      <w:pPr>
        <w:pStyle w:val="Heading2"/>
        <w:spacing w:after="150" w:before="300"/>
      </w:pPr>
      <w:r>
        <w:rPr>
          <w:b/>
          <w:bCs/>
          <w:color w:val="2E5395"/>
          <w:sz w:val="26"/>
          <w:szCs w:val="26"/>
        </w:rPr>
        <w:t xml:space="preserve">Group A — Build &amp; Environment</w:t>
      </w:r>
    </w:p>
    <w:p>
      <w:pPr>
        <w:pStyle w:val="Heading3"/>
        <w:spacing w:after="100" w:before="220"/>
      </w:pPr>
      <w:r>
        <w:rPr>
          <w:b/>
          <w:bCs/>
          <w:color w:val="1F3864"/>
          <w:sz w:val="23"/>
          <w:szCs w:val="23"/>
        </w:rPr>
        <w:t xml:space="preserve">CFD-A1 — FluidX3D benchmark and GPU detection succeed</w:t>
      </w:r>
    </w:p>
    <w:p>
      <w:pPr>
        <w:spacing w:after="140" w:line="290"/>
      </w:pPr>
      <w:r>
        <w:rPr>
          <w:b/>
          <w:bCs/>
          <w:sz w:val="22"/>
          <w:szCs w:val="22"/>
        </w:rPr>
        <w:t xml:space="preserve">Why this test matters: </w:t>
      </w:r>
      <w:r>
        <w:rPr>
          <w:sz w:val="22"/>
          <w:szCs w:val="22"/>
        </w:rPr>
        <w:t xml:space="preserve">A meaningless real-hardware number here invalidates every later time estimate.</w:t>
      </w:r>
    </w:p>
    <w:p>
      <w:pPr>
        <w:spacing w:after="140" w:line="290"/>
      </w:pPr>
      <w:r>
        <w:rPr>
          <w:b/>
          <w:bCs/>
          <w:sz w:val="22"/>
          <w:szCs w:val="22"/>
        </w:rPr>
        <w:t xml:space="preserve">How to run it: </w:t>
      </w:r>
      <w:r>
        <w:rPr>
          <w:sz w:val="22"/>
          <w:szCs w:val="22"/>
        </w:rPr>
        <w:t xml:space="preserve">Run FluidX3D's built-in benchmark mode.</w:t>
      </w:r>
    </w:p>
    <w:p>
      <w:pPr>
        <w:spacing w:after="140" w:line="290"/>
      </w:pPr>
      <w:r>
        <w:rPr>
          <w:b/>
          <w:bCs/>
          <w:sz w:val="22"/>
          <w:szCs w:val="22"/>
        </w:rPr>
        <w:t xml:space="preserve">Expected result (tolerance is the requirement, not a suggestion): </w:t>
      </w:r>
      <w:r>
        <w:rPr>
          <w:sz w:val="22"/>
          <w:szCs w:val="22"/>
        </w:rPr>
        <w:t xml:space="preserve">A real MLUPs/s figure specific to your GPU, plus a confirmed memory ceiling.</w:t>
      </w:r>
    </w:p>
    <w:p>
      <w:pPr>
        <w:spacing w:after="140" w:line="290"/>
      </w:pPr>
      <w:r>
        <w:rPr>
          <w:b/>
          <w:bCs/>
          <w:sz w:val="22"/>
          <w:szCs w:val="22"/>
        </w:rPr>
        <w:t xml:space="preserve">If it fails: </w:t>
      </w:r>
      <w:r>
        <w:rPr>
          <w:sz w:val="22"/>
          <w:szCs w:val="22"/>
        </w:rPr>
        <w:t xml:space="preserve">Confirm OpenCL drivers are correctly installed and the GPU is actually being selected, not falling back to CPU silently.</w:t>
      </w:r>
    </w:p>
    <w:p>
      <w:pPr>
        <w:spacing w:after="140" w:line="290"/>
      </w:pPr>
      <w:r>
        <w:rPr>
          <w:b/>
          <w:bCs/>
          <w:sz w:val="22"/>
          <w:szCs w:val="22"/>
        </w:rPr>
        <w:t xml:space="preserve">Traces to: </w:t>
      </w:r>
      <w:r>
        <w:rPr>
          <w:sz w:val="22"/>
          <w:szCs w:val="22"/>
        </w:rPr>
        <w:t xml:space="preserve">TRC-CFD-001</w:t>
      </w:r>
    </w:p>
    <w:p>
      <w:pPr>
        <w:pStyle w:val="Heading3"/>
        <w:spacing w:after="100" w:before="220"/>
      </w:pPr>
      <w:r>
        <w:rPr>
          <w:b/>
          <w:bCs/>
          <w:color w:val="1F3864"/>
          <w:sz w:val="23"/>
          <w:szCs w:val="23"/>
        </w:rPr>
        <w:t xml:space="preserve">CFD-A2 — Rust project builds cleanly with the new surrogate query wired in</w:t>
      </w:r>
    </w:p>
    <w:p>
      <w:pPr>
        <w:spacing w:after="140" w:line="290"/>
      </w:pPr>
      <w:r>
        <w:rPr>
          <w:b/>
          <w:bCs/>
          <w:sz w:val="22"/>
          <w:szCs w:val="22"/>
        </w:rPr>
        <w:t xml:space="preserve">Why this test matters: </w:t>
      </w:r>
      <w:r>
        <w:rPr>
          <w:sz w:val="22"/>
          <w:szCs w:val="22"/>
        </w:rPr>
        <w:t xml:space="preserve">Baseline for everything downstream.</w:t>
      </w:r>
    </w:p>
    <w:p>
      <w:pPr>
        <w:spacing w:after="140" w:line="290"/>
      </w:pPr>
      <w:r>
        <w:rPr>
          <w:b/>
          <w:bCs/>
          <w:sz w:val="22"/>
          <w:szCs w:val="22"/>
        </w:rPr>
        <w:t xml:space="preserve">How to run it: </w:t>
      </w:r>
      <w:r>
        <w:rPr>
          <w:sz w:val="22"/>
          <w:szCs w:val="22"/>
        </w:rPr>
        <w:t xml:space="preserve">cargo build --release from physics_core.</w:t>
      </w:r>
    </w:p>
    <w:p>
      <w:pPr>
        <w:spacing w:after="140" w:line="290"/>
      </w:pPr>
      <w:r>
        <w:rPr>
          <w:b/>
          <w:bCs/>
          <w:sz w:val="22"/>
          <w:szCs w:val="22"/>
        </w:rPr>
        <w:t xml:space="preserve">Expected result (tolerance is the requirement, not a suggestion): </w:t>
      </w:r>
      <w:r>
        <w:rPr>
          <w:sz w:val="22"/>
          <w:szCs w:val="22"/>
        </w:rPr>
        <w:t xml:space="preserve">Zero errors, zero unused-variable warnings.</w:t>
      </w:r>
    </w:p>
    <w:p>
      <w:pPr>
        <w:spacing w:after="140" w:line="290"/>
      </w:pPr>
      <w:r>
        <w:rPr>
          <w:b/>
          <w:bCs/>
          <w:sz w:val="22"/>
          <w:szCs w:val="22"/>
        </w:rPr>
        <w:t xml:space="preserve">If it fails: </w:t>
      </w:r>
      <w:r>
        <w:rPr>
          <w:sz w:val="22"/>
          <w:szCs w:val="22"/>
        </w:rPr>
        <w:t xml:space="preserve">An unused parameter often means an input isn't actually reaching the surrogate query call.</w:t>
      </w:r>
    </w:p>
    <w:p>
      <w:pPr>
        <w:spacing w:after="140" w:line="290"/>
      </w:pPr>
      <w:r>
        <w:rPr>
          <w:b/>
          <w:bCs/>
          <w:sz w:val="22"/>
          <w:szCs w:val="22"/>
        </w:rPr>
        <w:t xml:space="preserve">Traces to: </w:t>
      </w:r>
      <w:r>
        <w:rPr>
          <w:sz w:val="22"/>
          <w:szCs w:val="22"/>
        </w:rPr>
        <w:t xml:space="preserve">TRC-CFD-002</w:t>
      </w:r>
    </w:p>
    <w:p>
      <w:pPr>
        <w:pStyle w:val="Heading2"/>
        <w:spacing w:after="150" w:before="300"/>
      </w:pPr>
      <w:r>
        <w:rPr>
          <w:b/>
          <w:bCs/>
          <w:color w:val="2E5395"/>
          <w:sz w:val="26"/>
          <w:szCs w:val="26"/>
        </w:rPr>
        <w:t xml:space="preserve">Group B — Real-World Validation (the most important group in this document)</w:t>
      </w:r>
    </w:p>
    <w:p>
      <w:pPr>
        <w:pStyle w:val="Heading3"/>
        <w:spacing w:after="100" w:before="220"/>
      </w:pPr>
      <w:r>
        <w:rPr>
          <w:b/>
          <w:bCs/>
          <w:color w:val="1F3864"/>
          <w:sz w:val="23"/>
          <w:szCs w:val="23"/>
        </w:rPr>
        <w:t xml:space="preserve">CFD-B1 — CFD-predicted thrust/torque matches the UIUC-published real measurement</w:t>
      </w:r>
    </w:p>
    <w:p>
      <w:pPr>
        <w:spacing w:after="140" w:line="290"/>
      </w:pPr>
      <w:r>
        <w:rPr>
          <w:b/>
          <w:bCs/>
          <w:sz w:val="22"/>
          <w:szCs w:val="22"/>
        </w:rPr>
        <w:t xml:space="preserve">Why this test matters: </w:t>
      </w:r>
      <w:r>
        <w:rPr>
          <w:sz w:val="22"/>
          <w:szCs w:val="22"/>
        </w:rPr>
        <w:t xml:space="preserve">This is the test that proves your entire CFD methodology reflects actual physical air, not just internally consistent numbers — nothing else in this document means anything if this one is wrong.</w:t>
      </w:r>
    </w:p>
    <w:p>
      <w:pPr>
        <w:spacing w:after="140" w:line="290"/>
      </w:pPr>
      <w:r>
        <w:rPr>
          <w:b/>
          <w:bCs/>
          <w:sz w:val="22"/>
          <w:szCs w:val="22"/>
        </w:rPr>
        <w:t xml:space="preserve">How to run it: </w:t>
      </w:r>
      <w:r>
        <w:rPr>
          <w:sz w:val="22"/>
          <w:szCs w:val="22"/>
        </w:rPr>
        <w:t xml:space="preserve">Build a rotating-geometry case of a UIUC propeller with published real thrust/torque, run it, and directly compare.</w:t>
      </w:r>
    </w:p>
    <w:p>
      <w:pPr>
        <w:spacing w:after="140" w:line="290"/>
      </w:pPr>
      <w:r>
        <w:rPr>
          <w:b/>
          <w:bCs/>
          <w:sz w:val="22"/>
          <w:szCs w:val="22"/>
        </w:rPr>
        <w:t xml:space="preserve">Expected result (tolerance is the requirement, not a suggestion): </w:t>
      </w:r>
      <w:r>
        <w:rPr>
          <w:sz w:val="22"/>
          <w:szCs w:val="22"/>
        </w:rPr>
        <w:t xml:space="preserve">Predicted thrust and torque coefficients within 10% of UIUC's measured values — tighter is better, but state and document whatever number you actually achieve; don't round up.</w:t>
      </w:r>
    </w:p>
    <w:p>
      <w:pPr>
        <w:spacing w:after="140" w:line="290"/>
      </w:pPr>
      <w:r>
        <w:rPr>
          <w:b/>
          <w:bCs/>
          <w:sz w:val="22"/>
          <w:szCs w:val="22"/>
        </w:rPr>
        <w:t xml:space="preserve">If it fails: </w:t>
      </w:r>
      <w:r>
        <w:rPr>
          <w:sz w:val="22"/>
          <w:szCs w:val="22"/>
        </w:rPr>
        <w:t xml:space="preserve">Check units first (RPM vs rev/s is the single most common mistake here), then mesh resolution around the blade, then whether your case actually reached a statistically stable result before reading off the answer.</w:t>
      </w:r>
    </w:p>
    <w:p>
      <w:pPr>
        <w:spacing w:after="140" w:line="290"/>
      </w:pPr>
      <w:r>
        <w:rPr>
          <w:b/>
          <w:bCs/>
          <w:sz w:val="22"/>
          <w:szCs w:val="22"/>
        </w:rPr>
        <w:t xml:space="preserve">Traces to: </w:t>
      </w:r>
      <w:r>
        <w:rPr>
          <w:sz w:val="22"/>
          <w:szCs w:val="22"/>
        </w:rPr>
        <w:t xml:space="preserve">TRC-CFD-003 (Standards Framework Part I.4 real-world validation ladder, Step 1)</w:t>
      </w:r>
    </w:p>
    <w:p>
      <w:pPr>
        <w:pStyle w:val="Heading3"/>
        <w:spacing w:after="100" w:before="220"/>
      </w:pPr>
      <w:r>
        <w:rPr>
          <w:b/>
          <w:bCs/>
          <w:color w:val="1F3864"/>
          <w:sz w:val="23"/>
          <w:szCs w:val="23"/>
        </w:rPr>
        <w:t xml:space="preserve">CFD-B2 — Mesh/grid convergence: finer resolution doesn't meaningfully change the UIUC comparison</w:t>
      </w:r>
    </w:p>
    <w:p>
      <w:pPr>
        <w:spacing w:after="140" w:line="290"/>
      </w:pPr>
      <w:r>
        <w:rPr>
          <w:b/>
          <w:bCs/>
          <w:sz w:val="22"/>
          <w:szCs w:val="22"/>
        </w:rPr>
        <w:t xml:space="preserve">Why this test matters: </w:t>
      </w:r>
      <w:r>
        <w:rPr>
          <w:sz w:val="22"/>
          <w:szCs w:val="22"/>
        </w:rPr>
        <w:t xml:space="preserve">Proves your CFD setup has stabilized on a real answer independent of grid resolution, before you trust it against real-world data at all.</w:t>
      </w:r>
    </w:p>
    <w:p>
      <w:pPr>
        <w:spacing w:after="140" w:line="290"/>
      </w:pPr>
      <w:r>
        <w:rPr>
          <w:b/>
          <w:bCs/>
          <w:sz w:val="22"/>
          <w:szCs w:val="22"/>
        </w:rPr>
        <w:t xml:space="preserve">How to run it: </w:t>
      </w:r>
      <w:r>
        <w:rPr>
          <w:sz w:val="22"/>
          <w:szCs w:val="22"/>
        </w:rPr>
        <w:t xml:space="preserve">Re-run CFD-B1 at progressively finer lattice resolution.</w:t>
      </w:r>
    </w:p>
    <w:p>
      <w:pPr>
        <w:spacing w:after="140" w:line="290"/>
      </w:pPr>
      <w:r>
        <w:rPr>
          <w:b/>
          <w:bCs/>
          <w:sz w:val="22"/>
          <w:szCs w:val="22"/>
        </w:rPr>
        <w:t xml:space="preserve">Expected result (tolerance is the requirement, not a suggestion): </w:t>
      </w:r>
      <w:r>
        <w:rPr>
          <w:sz w:val="22"/>
          <w:szCs w:val="22"/>
        </w:rPr>
        <w:t xml:space="preserve">Result changes by less than 2% between the two finest resolutions tested, within your 6GB VRAM ceiling.</w:t>
      </w:r>
    </w:p>
    <w:p>
      <w:pPr>
        <w:spacing w:after="140" w:line="290"/>
      </w:pPr>
      <w:r>
        <w:rPr>
          <w:b/>
          <w:bCs/>
          <w:sz w:val="22"/>
          <w:szCs w:val="22"/>
        </w:rPr>
        <w:t xml:space="preserve">If it fails: </w:t>
      </w:r>
      <w:r>
        <w:rPr>
          <w:sz w:val="22"/>
          <w:szCs w:val="22"/>
        </w:rPr>
        <w:t xml:space="preserve">If you hit the VRAM ceiling before convergence, document that explicitly as a known limitation rather than silently accepting an under-resolved answer as final.</w:t>
      </w:r>
    </w:p>
    <w:p>
      <w:pPr>
        <w:spacing w:after="140" w:line="290"/>
      </w:pPr>
      <w:r>
        <w:rPr>
          <w:b/>
          <w:bCs/>
          <w:sz w:val="22"/>
          <w:szCs w:val="22"/>
        </w:rPr>
        <w:t xml:space="preserve">Traces to: </w:t>
      </w:r>
      <w:r>
        <w:rPr>
          <w:sz w:val="22"/>
          <w:szCs w:val="22"/>
        </w:rPr>
        <w:t xml:space="preserve">TRC-CFD-004</w:t>
      </w:r>
    </w:p>
    <w:p>
      <w:pPr>
        <w:pStyle w:val="Heading2"/>
        <w:spacing w:after="150" w:before="300"/>
      </w:pPr>
      <w:r>
        <w:rPr>
          <w:b/>
          <w:bCs/>
          <w:color w:val="2E5395"/>
          <w:sz w:val="26"/>
          <w:szCs w:val="26"/>
        </w:rPr>
        <w:t xml:space="preserve">Group C — Surrogate Isolation Tests</w:t>
      </w:r>
    </w:p>
    <w:p>
      <w:pPr>
        <w:pStyle w:val="Heading3"/>
        <w:spacing w:after="100" w:before="220"/>
      </w:pPr>
      <w:r>
        <w:rPr>
          <w:b/>
          <w:bCs/>
          <w:color w:val="1F3864"/>
          <w:sz w:val="23"/>
          <w:szCs w:val="23"/>
        </w:rPr>
        <w:t xml:space="preserve">CFD-C1 — Surrogate produces both a prediction and an uncertainty for a held-out bootstrap point</w:t>
      </w:r>
    </w:p>
    <w:p>
      <w:pPr>
        <w:spacing w:after="140" w:line="290"/>
      </w:pPr>
      <w:r>
        <w:rPr>
          <w:b/>
          <w:bCs/>
          <w:sz w:val="22"/>
          <w:szCs w:val="22"/>
        </w:rPr>
        <w:t xml:space="preserve">Why this test matters: </w:t>
      </w:r>
      <w:r>
        <w:rPr>
          <w:sz w:val="22"/>
          <w:szCs w:val="22"/>
        </w:rPr>
        <w:t xml:space="preserve">Confirms the GPR fit is functioning, isolated from the FFI layer.</w:t>
      </w:r>
    </w:p>
    <w:p>
      <w:pPr>
        <w:spacing w:after="140" w:line="290"/>
      </w:pPr>
      <w:r>
        <w:rPr>
          <w:b/>
          <w:bCs/>
          <w:sz w:val="22"/>
          <w:szCs w:val="22"/>
        </w:rPr>
        <w:t xml:space="preserve">How to run it: </w:t>
      </w:r>
      <w:r>
        <w:rPr>
          <w:sz w:val="22"/>
          <w:szCs w:val="22"/>
        </w:rPr>
        <w:t xml:space="preserve">Query directly in Python on a point deliberately excluded from training.</w:t>
      </w:r>
    </w:p>
    <w:p>
      <w:pPr>
        <w:spacing w:after="140" w:line="290"/>
      </w:pPr>
      <w:r>
        <w:rPr>
          <w:b/>
          <w:bCs/>
          <w:sz w:val="22"/>
          <w:szCs w:val="22"/>
        </w:rPr>
        <w:t xml:space="preserve">Expected result (tolerance is the requirement, not a suggestion): </w:t>
      </w:r>
      <w:r>
        <w:rPr>
          <w:sz w:val="22"/>
          <w:szCs w:val="22"/>
        </w:rPr>
        <w:t xml:space="preserve">A numeric prediction and a non-zero uncertainty.</w:t>
      </w:r>
    </w:p>
    <w:p>
      <w:pPr>
        <w:spacing w:after="140" w:line="290"/>
      </w:pPr>
      <w:r>
        <w:rPr>
          <w:b/>
          <w:bCs/>
          <w:sz w:val="22"/>
          <w:szCs w:val="22"/>
        </w:rPr>
        <w:t xml:space="preserve">If it fails: </w:t>
      </w:r>
      <w:r>
        <w:rPr>
          <w:sz w:val="22"/>
          <w:szCs w:val="22"/>
        </w:rPr>
        <w:t xml:space="preserve">Confirm the held-out point was actually excluded, not accidentally trained on.</w:t>
      </w:r>
    </w:p>
    <w:p>
      <w:pPr>
        <w:spacing w:after="140" w:line="290"/>
      </w:pPr>
      <w:r>
        <w:rPr>
          <w:b/>
          <w:bCs/>
          <w:sz w:val="22"/>
          <w:szCs w:val="22"/>
        </w:rPr>
        <w:t xml:space="preserve">Traces to: </w:t>
      </w:r>
      <w:r>
        <w:rPr>
          <w:sz w:val="22"/>
          <w:szCs w:val="22"/>
        </w:rPr>
        <w:t xml:space="preserve">TRC-CFD-005</w:t>
      </w:r>
    </w:p>
    <w:p>
      <w:pPr>
        <w:pStyle w:val="Heading3"/>
        <w:spacing w:after="100" w:before="220"/>
      </w:pPr>
      <w:r>
        <w:rPr>
          <w:b/>
          <w:bCs/>
          <w:color w:val="1F3864"/>
          <w:sz w:val="23"/>
          <w:szCs w:val="23"/>
        </w:rPr>
        <w:t xml:space="preserve">CFD-C2 — Drag force is exactly zero at exactly zero velocity</w:t>
      </w:r>
    </w:p>
    <w:p>
      <w:pPr>
        <w:spacing w:after="140" w:line="290"/>
      </w:pPr>
      <w:r>
        <w:rPr>
          <w:b/>
          <w:bCs/>
          <w:sz w:val="22"/>
          <w:szCs w:val="22"/>
        </w:rPr>
        <w:t xml:space="preserve">Why this test matters: </w:t>
      </w:r>
      <w:r>
        <w:rPr>
          <w:sz w:val="22"/>
          <w:szCs w:val="22"/>
        </w:rPr>
        <w:t xml:space="preserve">The simplest possible physical sanity check — no motion, no drag, by definition. Carried over directly from your Phase 1 acceptance criteria; still applies to the surrogate path, not just the formula path.</w:t>
      </w:r>
    </w:p>
    <w:p>
      <w:pPr>
        <w:spacing w:after="140" w:line="290"/>
      </w:pPr>
      <w:r>
        <w:rPr>
          <w:b/>
          <w:bCs/>
          <w:sz w:val="22"/>
          <w:szCs w:val="22"/>
        </w:rPr>
        <w:t xml:space="preserve">How to run it: </w:t>
      </w:r>
      <w:r>
        <w:rPr>
          <w:sz w:val="22"/>
          <w:szCs w:val="22"/>
        </w:rPr>
        <w:t xml:space="preserve">Query both the surrogate and the original Phase 1 formula at zero velocity.</w:t>
      </w:r>
    </w:p>
    <w:p>
      <w:pPr>
        <w:spacing w:after="140" w:line="290"/>
      </w:pPr>
      <w:r>
        <w:rPr>
          <w:b/>
          <w:bCs/>
          <w:sz w:val="22"/>
          <w:szCs w:val="22"/>
        </w:rPr>
        <w:t xml:space="preserve">Expected result (tolerance is the requirement, not a suggestion): </w:t>
      </w:r>
      <w:r>
        <w:rPr>
          <w:sz w:val="22"/>
          <w:szCs w:val="22"/>
        </w:rPr>
        <w:t xml:space="preserve">Both return exactly zero drag on all axes.</w:t>
      </w:r>
    </w:p>
    <w:p>
      <w:pPr>
        <w:spacing w:after="140" w:line="290"/>
      </w:pPr>
      <w:r>
        <w:rPr>
          <w:b/>
          <w:bCs/>
          <w:sz w:val="22"/>
          <w:szCs w:val="22"/>
        </w:rPr>
        <w:t xml:space="preserve">If it fails: </w:t>
      </w:r>
      <w:r>
        <w:rPr>
          <w:sz w:val="22"/>
          <w:szCs w:val="22"/>
        </w:rPr>
        <w:t xml:space="preserve">If the surrogate returns a small nonzero value, check whether zero-velocity cases were actually included in training — a GPR model can't be expected to know an exact boundary condition it was never shown.</w:t>
      </w:r>
    </w:p>
    <w:p>
      <w:pPr>
        <w:spacing w:after="140" w:line="290"/>
      </w:pPr>
      <w:r>
        <w:rPr>
          <w:b/>
          <w:bCs/>
          <w:sz w:val="22"/>
          <w:szCs w:val="22"/>
        </w:rPr>
        <w:t xml:space="preserve">Traces to: </w:t>
      </w:r>
      <w:r>
        <w:rPr>
          <w:sz w:val="22"/>
          <w:szCs w:val="22"/>
        </w:rPr>
        <w:t xml:space="preserve">TRC-CFD-006</w:t>
      </w:r>
    </w:p>
    <w:p>
      <w:pPr>
        <w:pStyle w:val="Heading3"/>
        <w:spacing w:after="100" w:before="220"/>
      </w:pPr>
      <w:r>
        <w:rPr>
          <w:b/>
          <w:bCs/>
          <w:color w:val="1F3864"/>
          <w:sz w:val="23"/>
          <w:szCs w:val="23"/>
        </w:rPr>
        <w:t xml:space="preserve">CFD-C3 — Held-out validation error is reported as an explicit, honest number, with its covered envelope documented</w:t>
      </w:r>
    </w:p>
    <w:p>
      <w:pPr>
        <w:spacing w:after="140" w:line="290"/>
      </w:pPr>
      <w:r>
        <w:rPr>
          <w:b/>
          <w:bCs/>
          <w:sz w:val="22"/>
          <w:szCs w:val="22"/>
        </w:rPr>
        <w:t xml:space="preserve">Why this test matters: </w:t>
      </w:r>
      <w:r>
        <w:rPr>
          <w:sz w:val="22"/>
          <w:szCs w:val="22"/>
        </w:rPr>
        <w:t xml:space="preserve">This is what actually distinguishes “the surrogate mirrors my own CFD” from “the surrogate is trustworthy” — per the Standards Framework's two-kinds-of-accuracy distinction.</w:t>
      </w:r>
    </w:p>
    <w:p>
      <w:pPr>
        <w:spacing w:after="140" w:line="290"/>
      </w:pPr>
      <w:r>
        <w:rPr>
          <w:b/>
          <w:bCs/>
          <w:sz w:val="22"/>
          <w:szCs w:val="22"/>
        </w:rPr>
        <w:t xml:space="preserve">How to run it: </w:t>
      </w:r>
      <w:r>
        <w:rPr>
          <w:sz w:val="22"/>
          <w:szCs w:val="22"/>
        </w:rPr>
        <w:t xml:space="preserve">Run the full held-out set and compute prediction error against true CFD results for each case.</w:t>
      </w:r>
    </w:p>
    <w:p>
      <w:pPr>
        <w:spacing w:after="140" w:line="290"/>
      </w:pPr>
      <w:r>
        <w:rPr>
          <w:b/>
          <w:bCs/>
          <w:sz w:val="22"/>
          <w:szCs w:val="22"/>
        </w:rPr>
        <w:t xml:space="preserve">Expected result (tolerance is the requirement, not a suggestion): </w:t>
      </w:r>
      <w:r>
        <w:rPr>
          <w:sz w:val="22"/>
          <w:szCs w:val="22"/>
        </w:rPr>
        <w:t xml:space="preserve">A specific, documented percentage, and a documented statement of exactly which angle/speed range this validation covers.</w:t>
      </w:r>
    </w:p>
    <w:p>
      <w:pPr>
        <w:spacing w:after="140" w:line="290"/>
      </w:pPr>
      <w:r>
        <w:rPr>
          <w:b/>
          <w:bCs/>
          <w:sz w:val="22"/>
          <w:szCs w:val="22"/>
        </w:rPr>
        <w:t xml:space="preserve">If it fails: </w:t>
      </w:r>
      <w:r>
        <w:rPr>
          <w:sz w:val="22"/>
          <w:szCs w:val="22"/>
        </w:rPr>
        <w:t xml:space="preserve">High error in a specific region signals a training-data gap there — add targeted active-learning cases, don't just widen the reported uncertainty and move on.</w:t>
      </w:r>
    </w:p>
    <w:p>
      <w:pPr>
        <w:spacing w:after="140" w:line="290"/>
      </w:pPr>
      <w:r>
        <w:rPr>
          <w:b/>
          <w:bCs/>
          <w:sz w:val="22"/>
          <w:szCs w:val="22"/>
        </w:rPr>
        <w:t xml:space="preserve">Traces to: </w:t>
      </w:r>
      <w:r>
        <w:rPr>
          <w:sz w:val="22"/>
          <w:szCs w:val="22"/>
        </w:rPr>
        <w:t xml:space="preserve">TRC-CFD-007</w:t>
      </w:r>
    </w:p>
    <w:p>
      <w:pPr>
        <w:pStyle w:val="Heading2"/>
        <w:spacing w:after="150" w:before="300"/>
      </w:pPr>
      <w:r>
        <w:rPr>
          <w:b/>
          <w:bCs/>
          <w:color w:val="2E5395"/>
          <w:sz w:val="26"/>
          <w:szCs w:val="26"/>
        </w:rPr>
        <w:t xml:space="preserve">Group D — Provenance &amp; Export</w:t>
      </w:r>
    </w:p>
    <w:p>
      <w:pPr>
        <w:pStyle w:val="Heading3"/>
        <w:spacing w:after="100" w:before="220"/>
      </w:pPr>
      <w:r>
        <w:rPr>
          <w:b/>
          <w:bCs/>
          <w:color w:val="1F3864"/>
          <w:sz w:val="23"/>
          <w:szCs w:val="23"/>
        </w:rPr>
        <w:t xml:space="preserve">CFD-D1 — Exported model carries all four required metadata fields</w:t>
      </w:r>
    </w:p>
    <w:p>
      <w:pPr>
        <w:spacing w:after="140" w:line="290"/>
      </w:pPr>
      <w:r>
        <w:rPr>
          <w:b/>
          <w:bCs/>
          <w:sz w:val="22"/>
          <w:szCs w:val="22"/>
        </w:rPr>
        <w:t xml:space="preserve">Why this test matters: </w:t>
      </w:r>
      <w:r>
        <w:rPr>
          <w:sz w:val="22"/>
          <w:szCs w:val="22"/>
        </w:rPr>
        <w:t xml:space="preserve">The Lead Architect's loader will refuse anything missing these.</w:t>
      </w:r>
    </w:p>
    <w:p>
      <w:pPr>
        <w:spacing w:after="140" w:line="290"/>
      </w:pPr>
      <w:r>
        <w:rPr>
          <w:b/>
          <w:bCs/>
          <w:sz w:val="22"/>
          <w:szCs w:val="22"/>
        </w:rPr>
        <w:t xml:space="preserve">How to run it: </w:t>
      </w:r>
      <w:r>
        <w:rPr>
          <w:sz w:val="22"/>
          <w:szCs w:val="22"/>
        </w:rPr>
        <w:t xml:space="preserve">Inspect the exported .onnx file's metadata_props directly.</w:t>
      </w:r>
    </w:p>
    <w:p>
      <w:pPr>
        <w:spacing w:after="140" w:line="290"/>
      </w:pPr>
      <w:r>
        <w:rPr>
          <w:b/>
          <w:bCs/>
          <w:sz w:val="22"/>
          <w:szCs w:val="22"/>
        </w:rPr>
        <w:t xml:space="preserve">Expected result (tolerance is the requirement, not a suggestion): </w:t>
      </w:r>
      <w:r>
        <w:rPr>
          <w:sz w:val="22"/>
          <w:szCs w:val="22"/>
        </w:rPr>
        <w:t xml:space="preserve">geometry_hash, design_revision, trained_at_utc, trained_by all present and non-empty.</w:t>
      </w:r>
    </w:p>
    <w:p>
      <w:pPr>
        <w:spacing w:after="140" w:line="290"/>
      </w:pPr>
      <w:r>
        <w:rPr>
          <w:b/>
          <w:bCs/>
          <w:sz w:val="22"/>
          <w:szCs w:val="22"/>
        </w:rPr>
        <w:t xml:space="preserve">If it fails: </w:t>
      </w:r>
      <w:r>
        <w:rPr>
          <w:sz w:val="22"/>
          <w:szCs w:val="22"/>
        </w:rPr>
        <w:t xml:space="preserve">Confirm training ran through train-surrogate.yml with --embed-provenance.</w:t>
      </w:r>
    </w:p>
    <w:p>
      <w:pPr>
        <w:spacing w:after="140" w:line="290"/>
      </w:pPr>
      <w:r>
        <w:rPr>
          <w:b/>
          <w:bCs/>
          <w:sz w:val="22"/>
          <w:szCs w:val="22"/>
        </w:rPr>
        <w:t xml:space="preserve">Traces to: </w:t>
      </w:r>
      <w:r>
        <w:rPr>
          <w:sz w:val="22"/>
          <w:szCs w:val="22"/>
        </w:rPr>
        <w:t xml:space="preserve">TRC-CFD-008 (Standards Framework Part II)</w:t>
      </w:r>
    </w:p>
    <w:p>
      <w:pPr>
        <w:pStyle w:val="Heading3"/>
        <w:spacing w:after="100" w:before="220"/>
      </w:pPr>
      <w:r>
        <w:rPr>
          <w:b/>
          <w:bCs/>
          <w:color w:val="1F3864"/>
          <w:sz w:val="23"/>
          <w:szCs w:val="23"/>
        </w:rPr>
        <w:t xml:space="preserve">CFD-D2 — Embedded geometry_hash matches the current canonical geometry file</w:t>
      </w:r>
    </w:p>
    <w:p>
      <w:pPr>
        <w:spacing w:after="140" w:line="290"/>
      </w:pPr>
      <w:r>
        <w:rPr>
          <w:b/>
          <w:bCs/>
          <w:sz w:val="22"/>
          <w:szCs w:val="22"/>
        </w:rPr>
        <w:t xml:space="preserve">Why this test matters: </w:t>
      </w:r>
      <w:r>
        <w:rPr>
          <w:sz w:val="22"/>
          <w:szCs w:val="22"/>
        </w:rPr>
        <w:t xml:space="preserve">Catching a mismatch here is faster than discovering it via a rejected load during integration.</w:t>
      </w:r>
    </w:p>
    <w:p>
      <w:pPr>
        <w:spacing w:after="140" w:line="290"/>
      </w:pPr>
      <w:r>
        <w:rPr>
          <w:b/>
          <w:bCs/>
          <w:sz w:val="22"/>
          <w:szCs w:val="22"/>
        </w:rPr>
        <w:t xml:space="preserve">How to run it: </w:t>
      </w:r>
      <w:r>
        <w:rPr>
          <w:sz w:val="22"/>
          <w:szCs w:val="22"/>
        </w:rPr>
        <w:t xml:space="preserve">Compute SHA-256 of offline_pipeline/geometry/current_geometry.json yourself and compare.</w:t>
      </w:r>
    </w:p>
    <w:p>
      <w:pPr>
        <w:spacing w:after="140" w:line="290"/>
      </w:pPr>
      <w:r>
        <w:rPr>
          <w:b/>
          <w:bCs/>
          <w:sz w:val="22"/>
          <w:szCs w:val="22"/>
        </w:rPr>
        <w:t xml:space="preserve">Expected result (tolerance is the requirement, not a suggestion): </w:t>
      </w:r>
      <w:r>
        <w:rPr>
          <w:sz w:val="22"/>
          <w:szCs w:val="22"/>
        </w:rPr>
        <w:t xml:space="preserve">Exact match.</w:t>
      </w:r>
    </w:p>
    <w:p>
      <w:pPr>
        <w:spacing w:after="140" w:line="290"/>
      </w:pPr>
      <w:r>
        <w:rPr>
          <w:b/>
          <w:bCs/>
          <w:sz w:val="22"/>
          <w:szCs w:val="22"/>
        </w:rPr>
        <w:t xml:space="preserve">If it fails: </w:t>
      </w:r>
      <w:r>
        <w:rPr>
          <w:sz w:val="22"/>
          <w:szCs w:val="22"/>
        </w:rPr>
        <w:t xml:space="preserve">Retrain against the current geometry file if it changed since this training run started.</w:t>
      </w:r>
    </w:p>
    <w:p>
      <w:pPr>
        <w:spacing w:after="140" w:line="290"/>
      </w:pPr>
      <w:r>
        <w:rPr>
          <w:b/>
          <w:bCs/>
          <w:sz w:val="22"/>
          <w:szCs w:val="22"/>
        </w:rPr>
        <w:t xml:space="preserve">Traces to: </w:t>
      </w:r>
      <w:r>
        <w:rPr>
          <w:sz w:val="22"/>
          <w:szCs w:val="22"/>
        </w:rPr>
        <w:t xml:space="preserve">TRC-CFD-009</w:t>
      </w:r>
    </w:p>
    <w:p>
      <w:pPr>
        <w:pStyle w:val="Heading2"/>
        <w:spacing w:after="150" w:before="300"/>
      </w:pPr>
      <w:r>
        <w:rPr>
          <w:b/>
          <w:bCs/>
          <w:color w:val="2E5395"/>
          <w:sz w:val="26"/>
          <w:szCs w:val="26"/>
        </w:rPr>
        <w:t xml:space="preserve">Group E — Full Pipeline Integration (aero.rs)</w:t>
      </w:r>
    </w:p>
    <w:p>
      <w:pPr>
        <w:pStyle w:val="Heading3"/>
        <w:spacing w:after="100" w:before="220"/>
      </w:pPr>
      <w:r>
        <w:rPr>
          <w:b/>
          <w:bCs/>
          <w:color w:val="1F3864"/>
          <w:sz w:val="23"/>
          <w:szCs w:val="23"/>
        </w:rPr>
        <w:t xml:space="preserve">CFD-E1 — aero.rs's surrogate query returns the same value as querying the model directly</w:t>
      </w:r>
    </w:p>
    <w:p>
      <w:pPr>
        <w:spacing w:after="140" w:line="290"/>
      </w:pPr>
      <w:r>
        <w:rPr>
          <w:b/>
          <w:bCs/>
          <w:sz w:val="22"/>
          <w:szCs w:val="22"/>
        </w:rPr>
        <w:t xml:space="preserve">Why this test matters: </w:t>
      </w:r>
      <w:r>
        <w:rPr>
          <w:sz w:val="22"/>
          <w:szCs w:val="22"/>
        </w:rPr>
        <w:t xml:space="preserve">Confirms correct wiring end to end, including input ordering.</w:t>
      </w:r>
    </w:p>
    <w:p>
      <w:pPr>
        <w:spacing w:after="140" w:line="290"/>
      </w:pPr>
      <w:r>
        <w:rPr>
          <w:b/>
          <w:bCs/>
          <w:sz w:val="22"/>
          <w:szCs w:val="22"/>
        </w:rPr>
        <w:t xml:space="preserve">How to run it: </w:t>
      </w:r>
      <w:r>
        <w:rPr>
          <w:sz w:val="22"/>
          <w:szCs w:val="22"/>
        </w:rPr>
        <w:t xml:space="preserve">Trigger a physics step with a known flight condition and compare the returned drag/thrust against a direct Python query of the same model with the same inputs.</w:t>
      </w:r>
    </w:p>
    <w:p>
      <w:pPr>
        <w:spacing w:after="140" w:line="290"/>
      </w:pPr>
      <w:r>
        <w:rPr>
          <w:b/>
          <w:bCs/>
          <w:sz w:val="22"/>
          <w:szCs w:val="22"/>
        </w:rPr>
        <w:t xml:space="preserve">Expected result (tolerance is the requirement, not a suggestion): </w:t>
      </w:r>
      <w:r>
        <w:rPr>
          <w:sz w:val="22"/>
          <w:szCs w:val="22"/>
        </w:rPr>
        <w:t xml:space="preserve">Matching values within floating-point rounding.</w:t>
      </w:r>
    </w:p>
    <w:p>
      <w:pPr>
        <w:spacing w:after="140" w:line="290"/>
      </w:pPr>
      <w:r>
        <w:rPr>
          <w:b/>
          <w:bCs/>
          <w:sz w:val="22"/>
          <w:szCs w:val="22"/>
        </w:rPr>
        <w:t xml:space="preserve">If it fails: </w:t>
      </w:r>
      <w:r>
        <w:rPr>
          <w:sz w:val="22"/>
          <w:szCs w:val="22"/>
        </w:rPr>
        <w:t xml:space="preserve">Check input ordering (roll, pitch, yaw, airspeed) — a transposed order is the most common cause of a plausible-looking wrong answer here.</w:t>
      </w:r>
    </w:p>
    <w:p>
      <w:pPr>
        <w:spacing w:after="140" w:line="290"/>
      </w:pPr>
      <w:r>
        <w:rPr>
          <w:b/>
          <w:bCs/>
          <w:sz w:val="22"/>
          <w:szCs w:val="22"/>
        </w:rPr>
        <w:t xml:space="preserve">Traces to: </w:t>
      </w:r>
      <w:r>
        <w:rPr>
          <w:sz w:val="22"/>
          <w:szCs w:val="22"/>
        </w:rPr>
        <w:t xml:space="preserve">TRC-CFD-010</w:t>
      </w:r>
    </w:p>
    <w:p>
      <w:pPr>
        <w:pStyle w:val="Heading3"/>
        <w:spacing w:after="100" w:before="220"/>
      </w:pPr>
      <w:r>
        <w:rPr>
          <w:b/>
          <w:bCs/>
          <w:color w:val="1F3864"/>
          <w:sz w:val="23"/>
          <w:szCs w:val="23"/>
        </w:rPr>
        <w:t xml:space="preserve">CFD-E2 — The f64→f32 altitude narrowing happens at exactly one deliberate point</w:t>
      </w:r>
    </w:p>
    <w:p>
      <w:pPr>
        <w:spacing w:after="140" w:line="290"/>
      </w:pPr>
      <w:r>
        <w:rPr>
          <w:b/>
          <w:bCs/>
          <w:sz w:val="22"/>
          <w:szCs w:val="22"/>
        </w:rPr>
        <w:t xml:space="preserve">Why this test matters: </w:t>
      </w:r>
      <w:r>
        <w:rPr>
          <w:sz w:val="22"/>
          <w:szCs w:val="22"/>
        </w:rPr>
        <w:t xml:space="preserve">Per the Standards Framework Part I, DroneState.position is now f64 — your altitude read needs a visible, intentional narrowing point, not an implicit one.</w:t>
      </w:r>
    </w:p>
    <w:p>
      <w:pPr>
        <w:spacing w:after="140" w:line="290"/>
      </w:pPr>
      <w:r>
        <w:rPr>
          <w:b/>
          <w:bCs/>
          <w:sz w:val="22"/>
          <w:szCs w:val="22"/>
        </w:rPr>
        <w:t xml:space="preserve">How to run it: </w:t>
      </w:r>
      <w:r>
        <w:rPr>
          <w:sz w:val="22"/>
          <w:szCs w:val="22"/>
        </w:rPr>
        <w:t xml:space="preserve">Locate every place in aero.rs that reads position's “up” component.</w:t>
      </w:r>
    </w:p>
    <w:p>
      <w:pPr>
        <w:spacing w:after="140" w:line="290"/>
      </w:pPr>
      <w:r>
        <w:rPr>
          <w:b/>
          <w:bCs/>
          <w:sz w:val="22"/>
          <w:szCs w:val="22"/>
        </w:rPr>
        <w:t xml:space="preserve">Expected result (tolerance is the requirement, not a suggestion): </w:t>
      </w:r>
      <w:r>
        <w:rPr>
          <w:sz w:val="22"/>
          <w:szCs w:val="22"/>
        </w:rPr>
        <w:t xml:space="preserve">Exactly one explicit narrowing conversion, clearly commented, feeding the ISA formula.</w:t>
      </w:r>
    </w:p>
    <w:p>
      <w:pPr>
        <w:spacing w:after="140" w:line="290"/>
      </w:pPr>
      <w:r>
        <w:rPr>
          <w:b/>
          <w:bCs/>
          <w:sz w:val="22"/>
          <w:szCs w:val="22"/>
        </w:rPr>
        <w:t xml:space="preserve">If it fails: </w:t>
      </w:r>
      <w:r>
        <w:rPr>
          <w:sz w:val="22"/>
          <w:szCs w:val="22"/>
        </w:rPr>
        <w:t xml:space="preserve">If narrowing happens implicitly in multiple places, consolidate to one named conversion, the same discipline the Lead Architect's NED→UE5 conversion follows.</w:t>
      </w:r>
    </w:p>
    <w:p>
      <w:pPr>
        <w:spacing w:after="140" w:line="290"/>
      </w:pPr>
      <w:r>
        <w:rPr>
          <w:b/>
          <w:bCs/>
          <w:sz w:val="22"/>
          <w:szCs w:val="22"/>
        </w:rPr>
        <w:t xml:space="preserve">Traces to: </w:t>
      </w:r>
      <w:r>
        <w:rPr>
          <w:sz w:val="22"/>
          <w:szCs w:val="22"/>
        </w:rPr>
        <w:t xml:space="preserve">TRC-CFD-011</w:t>
      </w:r>
    </w:p>
    <w:p>
      <w:pPr>
        <w:pStyle w:val="Heading3"/>
        <w:spacing w:after="100" w:before="220"/>
      </w:pPr>
      <w:r>
        <w:rPr>
          <w:b/>
          <w:bCs/>
          <w:color w:val="1F3864"/>
          <w:sz w:val="23"/>
          <w:szCs w:val="23"/>
        </w:rPr>
        <w:t xml:space="preserve">CFD-E3 — Formula fallback still works correctly when no surrogate is loaded</w:t>
      </w:r>
    </w:p>
    <w:p>
      <w:pPr>
        <w:spacing w:after="140" w:line="290"/>
      </w:pPr>
      <w:r>
        <w:rPr>
          <w:b/>
          <w:bCs/>
          <w:sz w:val="22"/>
          <w:szCs w:val="22"/>
        </w:rPr>
        <w:t xml:space="preserve">Why this test matters: </w:t>
      </w:r>
      <w:r>
        <w:rPr>
          <w:sz w:val="22"/>
          <w:szCs w:val="22"/>
        </w:rPr>
        <w:t xml:space="preserve">Confirms your Phase 1 work is genuinely undisturbed by the Phase 2 addition.</w:t>
      </w:r>
    </w:p>
    <w:p>
      <w:pPr>
        <w:spacing w:after="140" w:line="290"/>
      </w:pPr>
      <w:r>
        <w:rPr>
          <w:b/>
          <w:bCs/>
          <w:sz w:val="22"/>
          <w:szCs w:val="22"/>
        </w:rPr>
        <w:t xml:space="preserve">How to run it: </w:t>
      </w:r>
      <w:r>
        <w:rPr>
          <w:sz w:val="22"/>
          <w:szCs w:val="22"/>
        </w:rPr>
        <w:t xml:space="preserve">Run a physics step with no surrogate model loaded.</w:t>
      </w:r>
    </w:p>
    <w:p>
      <w:pPr>
        <w:spacing w:after="140" w:line="290"/>
      </w:pPr>
      <w:r>
        <w:rPr>
          <w:b/>
          <w:bCs/>
          <w:sz w:val="22"/>
          <w:szCs w:val="22"/>
        </w:rPr>
        <w:t xml:space="preserve">Expected result (tolerance is the requirement, not a suggestion): </w:t>
      </w:r>
      <w:r>
        <w:rPr>
          <w:sz w:val="22"/>
          <w:szCs w:val="22"/>
        </w:rPr>
        <w:t xml:space="preserve">Drag/thrust values match your original Phase 1 formula's output exactly.</w:t>
      </w:r>
    </w:p>
    <w:p>
      <w:pPr>
        <w:spacing w:after="140" w:line="290"/>
      </w:pPr>
      <w:r>
        <w:rPr>
          <w:b/>
          <w:bCs/>
          <w:sz w:val="22"/>
          <w:szCs w:val="22"/>
        </w:rPr>
        <w:t xml:space="preserve">If it fails: </w:t>
      </w:r>
      <w:r>
        <w:rPr>
          <w:sz w:val="22"/>
          <w:szCs w:val="22"/>
        </w:rPr>
        <w:t xml:space="preserve">Check that the fallback branch wasn't accidentally altered while adding the surrogate call.</w:t>
      </w:r>
    </w:p>
    <w:p>
      <w:pPr>
        <w:spacing w:after="140" w:line="290"/>
      </w:pPr>
      <w:r>
        <w:rPr>
          <w:b/>
          <w:bCs/>
          <w:sz w:val="22"/>
          <w:szCs w:val="22"/>
        </w:rPr>
        <w:t xml:space="preserve">Traces to: </w:t>
      </w:r>
      <w:r>
        <w:rPr>
          <w:sz w:val="22"/>
          <w:szCs w:val="22"/>
        </w:rPr>
        <w:t xml:space="preserve">TRC-CFD-012</w:t>
      </w:r>
    </w:p>
    <w:p>
      <w:pPr>
        <w:pStyle w:val="Heading1"/>
        <w:pBdr>
          <w:bottom w:val="single" w:color="2E5395" w:sz="6" w:space="4"/>
        </w:pBdr>
        <w:spacing w:after="200" w:before="400"/>
      </w:pPr>
      <w:r>
        <w:rPr>
          <w:b/>
          <w:bCs/>
          <w:color w:val="1F3864"/>
          <w:sz w:val="30"/>
          <w:szCs w:val="30"/>
        </w:rPr>
        <w:t xml:space="preserve">6. Final Sign-Off Checklist</w:t>
      </w:r>
    </w:p>
    <w:p>
      <w:pPr>
        <w:spacing w:after="160" w:line="300"/>
      </w:pPr>
      <w:r>
        <w:rPr>
          <w:sz w:val="22"/>
          <w:szCs w:val="22"/>
        </w:rPr>
        <w:t xml:space="preserve">aero.rs and its surrogate are Tier F. Every box below must be checked in this session, and the PR requires a reviewer who is not you.</w:t>
      </w:r>
    </w:p>
    <w:p>
      <w:pPr>
        <w:pStyle w:val="ListParagraph"/>
        <w:numPr>
          <w:ilvl w:val="0"/>
          <w:numId w:val="2"/>
        </w:numPr>
        <w:spacing w:after="100" w:line="290"/>
      </w:pPr>
      <w:r>
        <w:rPr>
          <w:sz w:val="22"/>
          <w:szCs w:val="22"/>
        </w:rPr>
        <w:t xml:space="preserve">All Group A tests passed (A1–A2)</w:t>
      </w:r>
    </w:p>
    <w:p>
      <w:pPr>
        <w:pStyle w:val="ListParagraph"/>
        <w:numPr>
          <w:ilvl w:val="0"/>
          <w:numId w:val="2"/>
        </w:numPr>
        <w:spacing w:after="100" w:line="290"/>
      </w:pPr>
      <w:r>
        <w:rPr>
          <w:sz w:val="22"/>
          <w:szCs w:val="22"/>
        </w:rPr>
        <w:t xml:space="preserve">All Group B tests passed (B1–B2) — real UIUC comparison and mesh convergence, both documented with actual numbers</w:t>
      </w:r>
    </w:p>
    <w:p>
      <w:pPr>
        <w:pStyle w:val="ListParagraph"/>
        <w:numPr>
          <w:ilvl w:val="0"/>
          <w:numId w:val="2"/>
        </w:numPr>
        <w:spacing w:after="100" w:line="290"/>
      </w:pPr>
      <w:r>
        <w:rPr>
          <w:sz w:val="22"/>
          <w:szCs w:val="22"/>
        </w:rPr>
        <w:t xml:space="preserve">All Group C tests passed (C1–C3) — zero-velocity boundary and honest held-out error both confirmed</w:t>
      </w:r>
    </w:p>
    <w:p>
      <w:pPr>
        <w:pStyle w:val="ListParagraph"/>
        <w:numPr>
          <w:ilvl w:val="0"/>
          <w:numId w:val="2"/>
        </w:numPr>
        <w:spacing w:after="100" w:line="290"/>
      </w:pPr>
      <w:r>
        <w:rPr>
          <w:sz w:val="22"/>
          <w:szCs w:val="22"/>
        </w:rPr>
        <w:t xml:space="preserve">All Group D tests passed (D1–D2) — provenance metadata verified against the live geometry file</w:t>
      </w:r>
    </w:p>
    <w:p>
      <w:pPr>
        <w:pStyle w:val="ListParagraph"/>
        <w:numPr>
          <w:ilvl w:val="0"/>
          <w:numId w:val="2"/>
        </w:numPr>
        <w:spacing w:after="100" w:line="290"/>
      </w:pPr>
      <w:r>
        <w:rPr>
          <w:sz w:val="22"/>
          <w:szCs w:val="22"/>
        </w:rPr>
        <w:t xml:space="preserve">All Group E tests passed (E1–E3)</w:t>
      </w:r>
    </w:p>
    <w:p>
      <w:pPr>
        <w:pStyle w:val="ListParagraph"/>
        <w:numPr>
          <w:ilvl w:val="0"/>
          <w:numId w:val="2"/>
        </w:numPr>
        <w:spacing w:after="100" w:line="290"/>
      </w:pPr>
      <w:r>
        <w:rPr>
          <w:sz w:val="22"/>
          <w:szCs w:val="22"/>
        </w:rPr>
        <w:t xml:space="preserve">TRACEABILITY.md updated with every TRC-CFD-### row above, marked PASS</w:t>
      </w:r>
    </w:p>
    <w:p>
      <w:pPr>
        <w:pStyle w:val="ListParagraph"/>
        <w:numPr>
          <w:ilvl w:val="0"/>
          <w:numId w:val="2"/>
        </w:numPr>
        <w:spacing w:after="100" w:line="290"/>
      </w:pPr>
      <w:r>
        <w:rPr>
          <w:sz w:val="22"/>
          <w:szCs w:val="22"/>
        </w:rPr>
        <w:t xml:space="preserve">Independent reviewer (not you) has approved the PR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2026-08-07T03:59:46.304Z</dcterms:created>
  <dcterms:modified xsi:type="dcterms:W3CDTF">2026-08-07T03:59:46.304Z</dcterms:modified>
</cp:coreProperties>
</file>

<file path=docProps/custom.xml><?xml version="1.0" encoding="utf-8"?>
<Properties xmlns="http://schemas.openxmlformats.org/officeDocument/2006/custom-properties" xmlns:vt="http://schemas.openxmlformats.org/officeDocument/2006/docPropsVTypes"/>
</file>