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Core Engineering Standards &amp; Safety Classification Framework</w:t>
      </w:r>
    </w:p>
    <w:p>
      <w:pPr>
        <w:spacing w:before="150"/>
        <w:jc w:val="center"/>
      </w:pPr>
      <w:r>
        <w:rPr>
          <w:i/>
          <w:iCs/>
          <w:color w:val="595959"/>
          <w:sz w:val="22"/>
          <w:szCs w:val="22"/>
        </w:rPr>
        <w:t xml:space="preserve">Governance Document — Owned by Lead Architect. Applies to every developer and every phase from this point forward.</w:t>
      </w:r>
    </w:p>
    <w:p>
      <w:pPr>
        <w:pBdr>
          <w:top w:val="single" w:color="2E5395" w:sz="6" w:space="8"/>
        </w:pBdr>
        <w:spacing w:before="500"/>
        <w:jc w:val="center"/>
      </w:pPr>
      <w:r>
        <w:rPr>
          <w:color w:val="595959"/>
          <w:sz w:val="22"/>
          <w:szCs w:val="22"/>
        </w:rPr>
        <w:t xml:space="preserve">Fixes: position precision, coordinate frame ambiguity, surrogate model provenance, module safety classification, and review/traceability policy.</w:t>
      </w:r>
    </w:p>
    <w:p>
      <w:r>
        <w:br w:type="page"/>
      </w:r>
    </w:p>
    <w:p>
      <w:pPr>
        <w:pStyle w:val="Heading1"/>
        <w:pBdr>
          <w:bottom w:val="single" w:color="2E5395" w:sz="6" w:space="4"/>
        </w:pBdr>
        <w:spacing w:after="200" w:before="400"/>
      </w:pPr>
      <w:r>
        <w:rPr>
          <w:b/>
          <w:bCs/>
          <w:color w:val="1F3864"/>
          <w:sz w:val="30"/>
          <w:szCs w:val="30"/>
        </w:rPr>
        <w:t xml:space="preserve">0. Purpose, Scope, and an Honest Boundary</w:t>
      </w:r>
    </w:p>
    <w:p>
      <w:pPr>
        <w:spacing w:after="160" w:line="300"/>
      </w:pPr>
      <w:r>
        <w:rPr>
          <w:sz w:val="22"/>
          <w:szCs w:val="22"/>
        </w:rPr>
        <w:t xml:space="preserve">This document exists because of a direct project review finding: several core engineering decisions (numeric precision, coordinate conventions, model provenance, and — most importantly — which parts of this codebase actually need to behave like flight software) were either left ambiguous, deferred to individual developers to “confirm with the Lead Architect” case by case, or not addressed at all. For an indie flight-sim hobby project, that's a normal way to work. For a company building UAV/AUV hardware with the explicit goal that simulated behavior and real-world behavior are 1:1 identical, it isn't — ambiguity at this layer doesn't stay contained, it propagates into every phase built on top of it.</w:t>
      </w:r>
    </w:p>
    <w:p>
      <w:pPr>
        <w:spacing w:after="160" w:line="300"/>
      </w:pPr>
      <w:r>
        <w:rPr>
          <w:sz w:val="22"/>
          <w:szCs w:val="22"/>
        </w:rPr>
        <w:t xml:space="preserve">This document does two things. Part I and Part II fix specific, concrete technical decisions (data precision, coordinate frames, model versioning) that were left open. Part III establishes an ongoing classification and review discipline so that every future module — not just the ones that exist today — gets the right amount of rigor automatically, instead of rigor being decided ad hoc, per file, by whoever happens to be writing it that week.</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Read this before continuing: this document borrows structure and discipline from real aerospace and defense software-assurance standards (listed in Section 0.1) because that discipline is the right target to aim for, and because using an established framework instead of inventing one from scratch is itself good engineering practice. It does not, by itself, certify anything as airworthy, and it is not a substitute for engaging a qualified safety engineer, Designated Engineering Representative (DER), or certification authority once this project is actually ready to fly on real hardware. Treat this as internal engineering discipline that makes that eventual formal process dramatically easier, not as a replacement for it.</w:t>
      </w:r>
    </w:p>
    <w:p>
      <w:pPr>
        <w:pStyle w:val="Heading3"/>
        <w:spacing w:after="100" w:before="220"/>
      </w:pPr>
      <w:r>
        <w:rPr>
          <w:b/>
          <w:bCs/>
          <w:color w:val="1F3864"/>
          <w:sz w:val="23"/>
          <w:szCs w:val="23"/>
        </w:rPr>
        <w:t xml:space="preserve">0.1 Standards This Framework Is Aligned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399"/>
        <w:gridCol w:w="3463"/>
      </w:tblGrid>
      <w:tr>
        <w:trPr>
          <w:tblHeader/>
        </w:trPr>
        <w:tc>
          <w:tcPr>
            <w:tcW w:type="dxa" w:w="1498"/>
            <w:shd w:fill="2E5395" w:val="clear"/>
            <w:tcMar>
              <w:top w:type="dxa" w:w="80"/>
              <w:left w:type="dxa" w:w="120"/>
              <w:bottom w:type="dxa" w:w="80"/>
              <w:right w:type="dxa" w:w="120"/>
            </w:tcMar>
            <w:vAlign w:val="center"/>
          </w:tcPr>
          <w:p>
            <w:r>
              <w:rPr>
                <w:b/>
                <w:bCs/>
                <w:color w:val="FFFFFF"/>
                <w:sz w:val="20"/>
                <w:szCs w:val="20"/>
              </w:rPr>
              <w:t xml:space="preserve">Standard</w:t>
            </w:r>
          </w:p>
        </w:tc>
        <w:tc>
          <w:tcPr>
            <w:tcW w:type="dxa" w:w="4399"/>
            <w:shd w:fill="2E5395" w:val="clear"/>
            <w:tcMar>
              <w:top w:type="dxa" w:w="80"/>
              <w:left w:type="dxa" w:w="120"/>
              <w:bottom w:type="dxa" w:w="80"/>
              <w:right w:type="dxa" w:w="120"/>
            </w:tcMar>
            <w:vAlign w:val="center"/>
          </w:tcPr>
          <w:p>
            <w:r>
              <w:rPr>
                <w:b/>
                <w:bCs/>
                <w:color w:val="FFFFFF"/>
                <w:sz w:val="20"/>
                <w:szCs w:val="20"/>
              </w:rPr>
              <w:t xml:space="preserve">What It Actually Covers</w:t>
            </w:r>
          </w:p>
        </w:tc>
        <w:tc>
          <w:tcPr>
            <w:tcW w:type="dxa" w:w="3463"/>
            <w:shd w:fill="2E5395" w:val="clear"/>
            <w:tcMar>
              <w:top w:type="dxa" w:w="80"/>
              <w:left w:type="dxa" w:w="120"/>
              <w:bottom w:type="dxa" w:w="80"/>
              <w:right w:type="dxa" w:w="120"/>
            </w:tcMar>
            <w:vAlign w:val="center"/>
          </w:tcPr>
          <w:p>
            <w:r>
              <w:rPr>
                <w:b/>
                <w:bCs/>
                <w:color w:val="FFFFFF"/>
                <w:sz w:val="20"/>
                <w:szCs w:val="20"/>
              </w:rPr>
              <w:t xml:space="preserve">Why It's Relevant Here</w:t>
            </w:r>
          </w:p>
        </w:tc>
      </w:tr>
      <w:tr>
        <w:tc>
          <w:tcPr>
            <w:tcW w:type="dxa" w:w="1498"/>
            <w:shd w:fill="FFFFFF" w:val="clear"/>
            <w:tcMar>
              <w:top w:type="dxa" w:w="80"/>
              <w:left w:type="dxa" w:w="120"/>
              <w:bottom w:type="dxa" w:w="80"/>
              <w:right w:type="dxa" w:w="120"/>
            </w:tcMar>
            <w:vAlign w:val="center"/>
          </w:tcPr>
          <w:p>
            <w:r>
              <w:rPr>
                <w:b w:val="false"/>
                <w:bCs w:val="false"/>
                <w:color w:val="000000"/>
                <w:sz w:val="20"/>
                <w:szCs w:val="20"/>
              </w:rPr>
              <w:t xml:space="preserve">DO-178C</w:t>
            </w:r>
          </w:p>
        </w:tc>
        <w:tc>
          <w:tcPr>
            <w:tcW w:type="dxa" w:w="4399"/>
            <w:shd w:fill="FFFFFF" w:val="clear"/>
            <w:tcMar>
              <w:top w:type="dxa" w:w="80"/>
              <w:left w:type="dxa" w:w="120"/>
              <w:bottom w:type="dxa" w:w="80"/>
              <w:right w:type="dxa" w:w="120"/>
            </w:tcMar>
            <w:vAlign w:val="center"/>
          </w:tcPr>
          <w:p>
            <w:r>
              <w:rPr>
                <w:b w:val="false"/>
                <w:bCs w:val="false"/>
                <w:color w:val="000000"/>
                <w:sz w:val="20"/>
                <w:szCs w:val="20"/>
              </w:rPr>
              <w:t xml:space="preserve">Software Considerations in Airborne Systems and Equipment Certification. Defines five Design Assurance Levels (DAL A–E) based on the severity of what happens if the software fails, and the verification rigor required at each level.</w:t>
            </w:r>
          </w:p>
        </w:tc>
        <w:tc>
          <w:tcPr>
            <w:tcW w:type="dxa" w:w="3463"/>
            <w:shd w:fill="FFFFFF" w:val="clear"/>
            <w:tcMar>
              <w:top w:type="dxa" w:w="80"/>
              <w:left w:type="dxa" w:w="120"/>
              <w:bottom w:type="dxa" w:w="80"/>
              <w:right w:type="dxa" w:w="120"/>
            </w:tcMar>
            <w:vAlign w:val="center"/>
          </w:tcPr>
          <w:p>
            <w:r>
              <w:rPr>
                <w:b w:val="false"/>
                <w:bCs w:val="false"/>
                <w:color w:val="000000"/>
                <w:sz w:val="20"/>
                <w:szCs w:val="20"/>
              </w:rPr>
              <w:t xml:space="preserve">The right mental model for “how much process does this specific piece of code actually need,” used directly in Part III's classification tiers.</w:t>
            </w:r>
          </w:p>
        </w:tc>
      </w:tr>
      <w:tr>
        <w:tc>
          <w:tcPr>
            <w:tcW w:type="dxa" w:w="1498"/>
            <w:shd w:fill="F5F8FC" w:val="clear"/>
            <w:tcMar>
              <w:top w:type="dxa" w:w="80"/>
              <w:left w:type="dxa" w:w="120"/>
              <w:bottom w:type="dxa" w:w="80"/>
              <w:right w:type="dxa" w:w="120"/>
            </w:tcMar>
            <w:vAlign w:val="center"/>
          </w:tcPr>
          <w:p>
            <w:r>
              <w:rPr>
                <w:sz w:val="20"/>
                <w:szCs w:val="20"/>
              </w:rPr>
              <w:t xml:space="preserve">DO-330</w:t>
            </w:r>
          </w:p>
        </w:tc>
        <w:tc>
          <w:tcPr>
            <w:tcW w:type="dxa" w:w="4399"/>
            <w:shd w:fill="F5F8FC" w:val="clear"/>
            <w:tcMar>
              <w:top w:type="dxa" w:w="80"/>
              <w:left w:type="dxa" w:w="120"/>
              <w:bottom w:type="dxa" w:w="80"/>
              <w:right w:type="dxa" w:w="120"/>
            </w:tcMar>
            <w:vAlign w:val="center"/>
          </w:tcPr>
          <w:p>
            <w:r>
              <w:rPr>
                <w:sz w:val="20"/>
                <w:szCs w:val="20"/>
              </w:rPr>
              <w:t xml:space="preserve">Software Tool Qualification Considerations. Covers tools whose own output could insert an error into airborne software, or whose output is used to verify the absence of an error — explicitly including simulation and analysis tools.</w:t>
            </w:r>
          </w:p>
        </w:tc>
        <w:tc>
          <w:tcPr>
            <w:tcW w:type="dxa" w:w="3463"/>
            <w:shd w:fill="F5F8FC" w:val="clear"/>
            <w:tcMar>
              <w:top w:type="dxa" w:w="80"/>
              <w:left w:type="dxa" w:w="120"/>
              <w:bottom w:type="dxa" w:w="80"/>
              <w:right w:type="dxa" w:w="120"/>
            </w:tcMar>
            <w:vAlign w:val="center"/>
          </w:tcPr>
          <w:p>
            <w:r>
              <w:rPr>
                <w:sz w:val="20"/>
                <w:szCs w:val="20"/>
              </w:rPr>
              <w:t xml:space="preserve">Directly applicable to this project: your CFD/FEA pipeline and your physics core are exactly the kind of tool DO-330 exists for, since their output can determine whether a real design decision is correct.</w:t>
            </w:r>
          </w:p>
        </w:tc>
      </w:tr>
      <w:tr>
        <w:tc>
          <w:tcPr>
            <w:tcW w:type="dxa" w:w="1498"/>
            <w:shd w:fill="FFFFFF" w:val="clear"/>
            <w:tcMar>
              <w:top w:type="dxa" w:w="80"/>
              <w:left w:type="dxa" w:w="120"/>
              <w:bottom w:type="dxa" w:w="80"/>
              <w:right w:type="dxa" w:w="120"/>
            </w:tcMar>
            <w:vAlign w:val="center"/>
          </w:tcPr>
          <w:p>
            <w:r>
              <w:rPr>
                <w:b w:val="false"/>
                <w:bCs w:val="false"/>
                <w:color w:val="000000"/>
                <w:sz w:val="20"/>
                <w:szCs w:val="20"/>
              </w:rPr>
              <w:t xml:space="preserve">DO-331 / DO-333</w:t>
            </w:r>
          </w:p>
        </w:tc>
        <w:tc>
          <w:tcPr>
            <w:tcW w:type="dxa" w:w="4399"/>
            <w:shd w:fill="FFFFFF" w:val="clear"/>
            <w:tcMar>
              <w:top w:type="dxa" w:w="80"/>
              <w:left w:type="dxa" w:w="120"/>
              <w:bottom w:type="dxa" w:w="80"/>
              <w:right w:type="dxa" w:w="120"/>
            </w:tcMar>
            <w:vAlign w:val="center"/>
          </w:tcPr>
          <w:p>
            <w:r>
              <w:rPr>
                <w:b w:val="false"/>
                <w:bCs w:val="false"/>
                <w:color w:val="000000"/>
                <w:sz w:val="20"/>
                <w:szCs w:val="20"/>
              </w:rPr>
              <w:t xml:space="preserve">Model-Based Development and Formal Methods supplements to DO-178C.</w:t>
            </w:r>
          </w:p>
        </w:tc>
        <w:tc>
          <w:tcPr>
            <w:tcW w:type="dxa" w:w="3463"/>
            <w:shd w:fill="FFFFFF" w:val="clear"/>
            <w:tcMar>
              <w:top w:type="dxa" w:w="80"/>
              <w:left w:type="dxa" w:w="120"/>
              <w:bottom w:type="dxa" w:w="80"/>
              <w:right w:type="dxa" w:w="120"/>
            </w:tcMar>
            <w:vAlign w:val="center"/>
          </w:tcPr>
          <w:p>
            <w:r>
              <w:rPr>
                <w:b w:val="false"/>
                <w:bCs w:val="false"/>
                <w:color w:val="000000"/>
                <w:sz w:val="20"/>
                <w:szCs w:val="20"/>
              </w:rPr>
              <w:t xml:space="preserve">Relevant once trained surrogate models and formally-derived physics equations are treated as part of a certification-relevant toolchain, not just research artifacts.</w:t>
            </w:r>
          </w:p>
        </w:tc>
      </w:tr>
      <w:tr>
        <w:tc>
          <w:tcPr>
            <w:tcW w:type="dxa" w:w="1498"/>
            <w:shd w:fill="F5F8FC" w:val="clear"/>
            <w:tcMar>
              <w:top w:type="dxa" w:w="80"/>
              <w:left w:type="dxa" w:w="120"/>
              <w:bottom w:type="dxa" w:w="80"/>
              <w:right w:type="dxa" w:w="120"/>
            </w:tcMar>
            <w:vAlign w:val="center"/>
          </w:tcPr>
          <w:p>
            <w:r>
              <w:rPr>
                <w:sz w:val="20"/>
                <w:szCs w:val="20"/>
              </w:rPr>
              <w:t xml:space="preserve">ARP4754A</w:t>
            </w:r>
          </w:p>
        </w:tc>
        <w:tc>
          <w:tcPr>
            <w:tcW w:type="dxa" w:w="4399"/>
            <w:shd w:fill="F5F8FC" w:val="clear"/>
            <w:tcMar>
              <w:top w:type="dxa" w:w="80"/>
              <w:left w:type="dxa" w:w="120"/>
              <w:bottom w:type="dxa" w:w="80"/>
              <w:right w:type="dxa" w:w="120"/>
            </w:tcMar>
            <w:vAlign w:val="center"/>
          </w:tcPr>
          <w:p>
            <w:r>
              <w:rPr>
                <w:sz w:val="20"/>
                <w:szCs w:val="20"/>
              </w:rPr>
              <w:t xml:space="preserve">Guidelines for Development of Civil Aircraft and Systems. Ties system-level safety assessment (hazard analysis) to the software/hardware assurance levels assigned to each component.</w:t>
            </w:r>
          </w:p>
        </w:tc>
        <w:tc>
          <w:tcPr>
            <w:tcW w:type="dxa" w:w="3463"/>
            <w:shd w:fill="F5F8FC" w:val="clear"/>
            <w:tcMar>
              <w:top w:type="dxa" w:w="80"/>
              <w:left w:type="dxa" w:w="120"/>
              <w:bottom w:type="dxa" w:w="80"/>
              <w:right w:type="dxa" w:w="120"/>
            </w:tcMar>
            <w:vAlign w:val="center"/>
          </w:tcPr>
          <w:p>
            <w:r>
              <w:rPr>
                <w:sz w:val="20"/>
                <w:szCs w:val="20"/>
              </w:rPr>
              <w:t xml:space="preserve">The process this framework's Section 3.4 hazard analysis step is modeled on.</w:t>
            </w:r>
          </w:p>
        </w:tc>
      </w:tr>
      <w:tr>
        <w:tc>
          <w:tcPr>
            <w:tcW w:type="dxa" w:w="1498"/>
            <w:shd w:fill="FFFFFF" w:val="clear"/>
            <w:tcMar>
              <w:top w:type="dxa" w:w="80"/>
              <w:left w:type="dxa" w:w="120"/>
              <w:bottom w:type="dxa" w:w="80"/>
              <w:right w:type="dxa" w:w="120"/>
            </w:tcMar>
            <w:vAlign w:val="center"/>
          </w:tcPr>
          <w:p>
            <w:r>
              <w:rPr>
                <w:b w:val="false"/>
                <w:bCs w:val="false"/>
                <w:color w:val="000000"/>
                <w:sz w:val="20"/>
                <w:szCs w:val="20"/>
              </w:rPr>
              <w:t xml:space="preserve">MIL-STD-882E</w:t>
            </w:r>
          </w:p>
        </w:tc>
        <w:tc>
          <w:tcPr>
            <w:tcW w:type="dxa" w:w="4399"/>
            <w:shd w:fill="FFFFFF" w:val="clear"/>
            <w:tcMar>
              <w:top w:type="dxa" w:w="80"/>
              <w:left w:type="dxa" w:w="120"/>
              <w:bottom w:type="dxa" w:w="80"/>
              <w:right w:type="dxa" w:w="120"/>
            </w:tcMar>
            <w:vAlign w:val="center"/>
          </w:tcPr>
          <w:p>
            <w:r>
              <w:rPr>
                <w:b w:val="false"/>
                <w:bCs w:val="false"/>
                <w:color w:val="000000"/>
                <w:sz w:val="20"/>
                <w:szCs w:val="20"/>
              </w:rPr>
              <w:t xml:space="preserve">DoD Standard Practice for System Safety. Defines a severity × probability risk matrix and a formal hazard-tracking process.</w:t>
            </w:r>
          </w:p>
        </w:tc>
        <w:tc>
          <w:tcPr>
            <w:tcW w:type="dxa" w:w="3463"/>
            <w:shd w:fill="FFFFFF" w:val="clear"/>
            <w:tcMar>
              <w:top w:type="dxa" w:w="80"/>
              <w:left w:type="dxa" w:w="120"/>
              <w:bottom w:type="dxa" w:w="80"/>
              <w:right w:type="dxa" w:w="120"/>
            </w:tcMar>
            <w:vAlign w:val="center"/>
          </w:tcPr>
          <w:p>
            <w:r>
              <w:rPr>
                <w:b w:val="false"/>
                <w:bCs w:val="false"/>
                <w:color w:val="000000"/>
                <w:sz w:val="20"/>
                <w:szCs w:val="20"/>
              </w:rPr>
              <w:t xml:space="preserve">The risk matrix used directly in Section 3.4 to justify each module's assigned tier.</w:t>
            </w:r>
          </w:p>
        </w:tc>
      </w:tr>
      <w:tr>
        <w:tc>
          <w:tcPr>
            <w:tcW w:type="dxa" w:w="1498"/>
            <w:shd w:fill="F5F8FC" w:val="clear"/>
            <w:tcMar>
              <w:top w:type="dxa" w:w="80"/>
              <w:left w:type="dxa" w:w="120"/>
              <w:bottom w:type="dxa" w:w="80"/>
              <w:right w:type="dxa" w:w="120"/>
            </w:tcMar>
            <w:vAlign w:val="center"/>
          </w:tcPr>
          <w:p>
            <w:r>
              <w:rPr>
                <w:sz w:val="20"/>
                <w:szCs w:val="20"/>
              </w:rPr>
              <w:t xml:space="preserve">STANAG 4671</w:t>
            </w:r>
          </w:p>
        </w:tc>
        <w:tc>
          <w:tcPr>
            <w:tcW w:type="dxa" w:w="4399"/>
            <w:shd w:fill="F5F8FC" w:val="clear"/>
            <w:tcMar>
              <w:top w:type="dxa" w:w="80"/>
              <w:left w:type="dxa" w:w="120"/>
              <w:bottom w:type="dxa" w:w="80"/>
              <w:right w:type="dxa" w:w="120"/>
            </w:tcMar>
            <w:vAlign w:val="center"/>
          </w:tcPr>
          <w:p>
            <w:r>
              <w:rPr>
                <w:sz w:val="20"/>
                <w:szCs w:val="20"/>
              </w:rPr>
              <w:t xml:space="preserve">NATO's UAV Systems Airworthiness Requirements (USAR) — a real, published NATO standard specifically for uncrewed aircraft, not manned aviation adapted after the fact.</w:t>
            </w:r>
          </w:p>
        </w:tc>
        <w:tc>
          <w:tcPr>
            <w:tcW w:type="dxa" w:w="3463"/>
            <w:shd w:fill="F5F8FC" w:val="clear"/>
            <w:tcMar>
              <w:top w:type="dxa" w:w="80"/>
              <w:left w:type="dxa" w:w="120"/>
              <w:bottom w:type="dxa" w:w="80"/>
              <w:right w:type="dxa" w:w="120"/>
            </w:tcMar>
            <w:vAlign w:val="center"/>
          </w:tcPr>
          <w:p>
            <w:r>
              <w:rPr>
                <w:sz w:val="20"/>
                <w:szCs w:val="20"/>
              </w:rPr>
              <w:t xml:space="preserve">The most directly relevant standard to this company's actual product category; worth a full read by whoever eventually owns certification strategy.</w:t>
            </w:r>
          </w:p>
        </w:tc>
      </w:tr>
      <w:tr>
        <w:tc>
          <w:tcPr>
            <w:tcW w:type="dxa" w:w="1498"/>
            <w:shd w:fill="FFFFFF" w:val="clear"/>
            <w:tcMar>
              <w:top w:type="dxa" w:w="80"/>
              <w:left w:type="dxa" w:w="120"/>
              <w:bottom w:type="dxa" w:w="80"/>
              <w:right w:type="dxa" w:w="120"/>
            </w:tcMar>
            <w:vAlign w:val="center"/>
          </w:tcPr>
          <w:p>
            <w:r>
              <w:rPr>
                <w:b w:val="false"/>
                <w:bCs w:val="false"/>
                <w:color w:val="000000"/>
                <w:sz w:val="20"/>
                <w:szCs w:val="20"/>
              </w:rPr>
              <w:t xml:space="preserve">NPR 7150.2</w:t>
            </w:r>
          </w:p>
        </w:tc>
        <w:tc>
          <w:tcPr>
            <w:tcW w:type="dxa" w:w="4399"/>
            <w:shd w:fill="FFFFFF" w:val="clear"/>
            <w:tcMar>
              <w:top w:type="dxa" w:w="80"/>
              <w:left w:type="dxa" w:w="120"/>
              <w:bottom w:type="dxa" w:w="80"/>
              <w:right w:type="dxa" w:w="120"/>
            </w:tcMar>
            <w:vAlign w:val="center"/>
          </w:tcPr>
          <w:p>
            <w:r>
              <w:rPr>
                <w:b w:val="false"/>
                <w:bCs w:val="false"/>
                <w:color w:val="000000"/>
                <w:sz w:val="20"/>
                <w:szCs w:val="20"/>
              </w:rPr>
              <w:t xml:space="preserve">NASA's Software Engineering Requirements, defining Software Classes A–E by risk/consequence, conceptually parallel to DO-178C's DALs.</w:t>
            </w:r>
          </w:p>
        </w:tc>
        <w:tc>
          <w:tcPr>
            <w:tcW w:type="dxa" w:w="3463"/>
            <w:shd w:fill="FFFFFF" w:val="clear"/>
            <w:tcMar>
              <w:top w:type="dxa" w:w="80"/>
              <w:left w:type="dxa" w:w="120"/>
              <w:bottom w:type="dxa" w:w="80"/>
              <w:right w:type="dxa" w:w="120"/>
            </w:tcMar>
            <w:vAlign w:val="center"/>
          </w:tcPr>
          <w:p>
            <w:r>
              <w:rPr>
                <w:b w:val="false"/>
                <w:bCs w:val="false"/>
                <w:color w:val="000000"/>
                <w:sz w:val="20"/>
                <w:szCs w:val="20"/>
              </w:rPr>
              <w:t xml:space="preserve">Relevant given the AUV side of this project and any future space-adjacent work; included since the review specifically asked for space-standard alignment too.</w:t>
            </w:r>
          </w:p>
        </w:tc>
      </w:tr>
      <w:tr>
        <w:tc>
          <w:tcPr>
            <w:tcW w:type="dxa" w:w="1498"/>
            <w:shd w:fill="F5F8FC" w:val="clear"/>
            <w:tcMar>
              <w:top w:type="dxa" w:w="80"/>
              <w:left w:type="dxa" w:w="120"/>
              <w:bottom w:type="dxa" w:w="80"/>
              <w:right w:type="dxa" w:w="120"/>
            </w:tcMar>
            <w:vAlign w:val="center"/>
          </w:tcPr>
          <w:p>
            <w:r>
              <w:rPr>
                <w:sz w:val="20"/>
                <w:szCs w:val="20"/>
              </w:rPr>
              <w:t xml:space="preserve">WGS84 (NGA)</w:t>
            </w:r>
          </w:p>
        </w:tc>
        <w:tc>
          <w:tcPr>
            <w:tcW w:type="dxa" w:w="4399"/>
            <w:shd w:fill="F5F8FC" w:val="clear"/>
            <w:tcMar>
              <w:top w:type="dxa" w:w="80"/>
              <w:left w:type="dxa" w:w="120"/>
              <w:bottom w:type="dxa" w:w="80"/>
              <w:right w:type="dxa" w:w="120"/>
            </w:tcMar>
            <w:vAlign w:val="center"/>
          </w:tcPr>
          <w:p>
            <w:r>
              <w:rPr>
                <w:sz w:val="20"/>
                <w:szCs w:val="20"/>
              </w:rPr>
              <w:t xml:space="preserve">The World Geodetic System 1984, maintained by the U.S. National Geospatial-Intelligence Agency — the reference ellipsoid and datum GPS itself is built on.</w:t>
            </w:r>
          </w:p>
        </w:tc>
        <w:tc>
          <w:tcPr>
            <w:tcW w:type="dxa" w:w="3463"/>
            <w:shd w:fill="F5F8FC" w:val="clear"/>
            <w:tcMar>
              <w:top w:type="dxa" w:w="80"/>
              <w:left w:type="dxa" w:w="120"/>
              <w:bottom w:type="dxa" w:w="80"/>
              <w:right w:type="dxa" w:w="120"/>
            </w:tcMar>
            <w:vAlign w:val="center"/>
          </w:tcPr>
          <w:p>
            <w:r>
              <w:rPr>
                <w:sz w:val="20"/>
                <w:szCs w:val="20"/>
              </w:rPr>
              <w:t xml:space="preserve">The geodetic reference this project's coordinate frame (Part I) is pinned to.</w:t>
            </w:r>
          </w:p>
        </w:tc>
      </w:tr>
      <w:tr>
        <w:tc>
          <w:tcPr>
            <w:tcW w:type="dxa" w:w="1498"/>
            <w:shd w:fill="FFFFFF" w:val="clear"/>
            <w:tcMar>
              <w:top w:type="dxa" w:w="80"/>
              <w:left w:type="dxa" w:w="120"/>
              <w:bottom w:type="dxa" w:w="80"/>
              <w:right w:type="dxa" w:w="120"/>
            </w:tcMar>
            <w:vAlign w:val="center"/>
          </w:tcPr>
          <w:p>
            <w:r>
              <w:rPr>
                <w:b w:val="false"/>
                <w:bCs w:val="false"/>
                <w:color w:val="000000"/>
                <w:sz w:val="20"/>
                <w:szCs w:val="20"/>
              </w:rPr>
              <w:t xml:space="preserve">IEEE 1278.1 (DIS)</w:t>
            </w:r>
          </w:p>
        </w:tc>
        <w:tc>
          <w:tcPr>
            <w:tcW w:type="dxa" w:w="4399"/>
            <w:shd w:fill="FFFFFF" w:val="clear"/>
            <w:tcMar>
              <w:top w:type="dxa" w:w="80"/>
              <w:left w:type="dxa" w:w="120"/>
              <w:bottom w:type="dxa" w:w="80"/>
              <w:right w:type="dxa" w:w="120"/>
            </w:tcMar>
            <w:vAlign w:val="center"/>
          </w:tcPr>
          <w:p>
            <w:r>
              <w:rPr>
                <w:b w:val="false"/>
                <w:bCs w:val="false"/>
                <w:color w:val="000000"/>
                <w:sz w:val="20"/>
                <w:szCs w:val="20"/>
              </w:rPr>
              <w:t xml:space="preserve">Distributed Interactive Simulation protocol. Defines entity position as double-precision, geocentric (ECEF) Cartesian coordinates.</w:t>
            </w:r>
          </w:p>
        </w:tc>
        <w:tc>
          <w:tcPr>
            <w:tcW w:type="dxa" w:w="3463"/>
            <w:shd w:fill="FFFFFF" w:val="clear"/>
            <w:tcMar>
              <w:top w:type="dxa" w:w="80"/>
              <w:left w:type="dxa" w:w="120"/>
              <w:bottom w:type="dxa" w:w="80"/>
              <w:right w:type="dxa" w:w="120"/>
            </w:tcMar>
            <w:vAlign w:val="center"/>
          </w:tcPr>
          <w:p>
            <w:r>
              <w:rPr>
                <w:b w:val="false"/>
                <w:bCs w:val="false"/>
                <w:color w:val="000000"/>
                <w:sz w:val="20"/>
                <w:szCs w:val="20"/>
              </w:rPr>
              <w:t xml:space="preserve">Real-world precedent for why military-grade simulation state uses double precision for position — cited directly in Part I.</w:t>
            </w:r>
          </w:p>
        </w:tc>
      </w:tr>
    </w:tbl>
    <w:p>
      <w:pPr>
        <w:pStyle w:val="Heading1"/>
        <w:pBdr>
          <w:bottom w:val="single" w:color="2E5395" w:sz="6" w:space="4"/>
        </w:pBdr>
        <w:spacing w:after="200" w:before="400"/>
      </w:pPr>
      <w:r>
        <w:rPr>
          <w:b/>
          <w:bCs/>
          <w:color w:val="1F3864"/>
          <w:sz w:val="30"/>
          <w:szCs w:val="30"/>
        </w:rPr>
        <w:t xml:space="preserve">PART I — Data Precision &amp; Coordinate Frame Standard</w:t>
      </w:r>
    </w:p>
    <w:p>
      <w:pPr>
        <w:pStyle w:val="Heading2"/>
        <w:spacing w:after="150" w:before="300"/>
      </w:pPr>
      <w:r>
        <w:rPr>
          <w:b/>
          <w:bCs/>
          <w:color w:val="2E5395"/>
          <w:sz w:val="26"/>
          <w:szCs w:val="26"/>
        </w:rPr>
        <w:t xml:space="preserve">1.1 The Problem, Restated Precisely</w:t>
      </w:r>
    </w:p>
    <w:p>
      <w:pPr>
        <w:spacing w:after="160" w:line="300"/>
      </w:pPr>
      <w:r>
        <w:rPr>
          <w:sz w:val="22"/>
          <w:szCs w:val="22"/>
        </w:rPr>
        <w:t xml:space="preserve">DroneState.position is currently [f32; 3]. A 32-bit float carries roughly 7 significant decimal digits total, spent across both the whole and fractional part of the number. Near the origin (small position values), that's sub-millimeter precision — far better than needed. But the number of significant digits is fixed regardless of magnitude: once position values reach the tens-of-thousands-of-meters range (a realistic UAV mission radius), the same 7 significant digits now have to cover both the large-scale value and the sub-meter detail you actually care about, and the sub-meter detail loses. This isn't a bug that shows up as a crash — it shows up as the drone's simulated position slowly, silently diverging from what the real math says it should be, purely from how the number is stored, before any physics error is even involved. That directly contradicts the 1:1 sim-to-reality goal this project is built around.</w:t>
      </w:r>
    </w:p>
    <w:p>
      <w:pPr>
        <w:pStyle w:val="Heading2"/>
        <w:spacing w:after="150" w:before="300"/>
      </w:pPr>
      <w:r>
        <w:rPr>
          <w:b/>
          <w:bCs/>
          <w:color w:val="2E5395"/>
          <w:sz w:val="26"/>
          <w:szCs w:val="26"/>
        </w:rPr>
        <w:t xml:space="preserve">1.2 Decision: Position Fields Are f64. Everything Else Stays f32.</w:t>
      </w:r>
    </w:p>
    <w:p>
      <w:pPr>
        <w:spacing w:after="160" w:line="300"/>
      </w:pPr>
      <w:r>
        <w:rPr>
          <w:sz w:val="22"/>
          <w:szCs w:val="22"/>
        </w:rPr>
        <w:t xml:space="preserve">Only fields whose absolute magnitude grows large need the extra precision. Velocity, orientation (a unit quaternion, always within [-1, 1] per component regardless of where the drone physically is), and angular velocity don't have this problem — f32 gives them more than enough precision at any realistic magnitude. Widening every field to f64 would double memory traffic and FFI payload size for no benefit. The fix is narrow and specific.</w:t>
      </w:r>
    </w:p>
    <w:p>
      <w:pPr>
        <w:spacing w:after="0" w:before="160"/>
      </w:pPr>
      <w:r>
        <w:rPr>
          <w:rFonts w:ascii="Consolas" w:cs="Consolas" w:eastAsia="Consolas" w:hAnsi="Consolas"/>
          <w:b/>
          <w:bCs/>
          <w:color w:val="444444"/>
          <w:sz w:val="19"/>
          <w:szCs w:val="19"/>
        </w:rPr>
        <w:t xml:space="preserve">physics_core/src/types.rs — updated DroneState</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Represents the drone's current physical condition.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#[repr(C)] guarantees this struct has the exact same memory layout 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both sides of the FFI boundary.</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COORDINATE FRAME (see ADR-001, Section 1.3 of the Standards Framework):</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position is expressed in a local North-East-Down (NED) frame, in meters,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relative to a fixed WGS84 geodetic origin defined once per simulation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scenario. Do not reinterpret this as UE5 world-space — conversion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happens ONLY inside the wrapper class described in Section 1.4.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#[derive(Copy, Clone)]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#[repr(C)]</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pub struct DroneState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North-East-Down position relative to the scenario's WGS84 origin,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in meters. f64: see ADR-001 — f32 loses sub-meter precision at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realistic mission ranges.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pub position: [f64; 3],</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Local-frame linear velocity, meters per second. f32 is sufficient: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magnitude never grows large enough to lose useful precision.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pub velocity: [f32; 3],</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Rotation as a unit quaternion, stored in order (w, x, y, z). f32</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is sufficient: components are always within [-1.0, 1.0].</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pub orientation: [f32; 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Angular velocity in the body frame, radians per second. f32 is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sufficient for the same reason as velocity.</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pub angular_velocity: [f32; 3],</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t>
      </w:r>
    </w:p>
    <w:p>
      <w:pPr>
        <w:spacing w:after="200"/>
      </w:pP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This is a breaking change to a struct every module in the project depends on. Follow the exact same process Phase 1 already established for any DroneState change: bump the crate version, notify Dev A/B/C/the whole team before merging, and don't let anyone start new work against the old layout in the meantime. Dev A's integrator, Dev B's aero.rs, and Dev C's mixer.rs will all need their internal glam Vec3 conversions updated from f32 to f64 for position specifically — velocity, orientation, and angular velocity conversions are unaffected.</w:t>
      </w:r>
    </w:p>
    <w:p>
      <w:pPr>
        <w:pStyle w:val="Heading2"/>
        <w:spacing w:after="150" w:before="300"/>
      </w:pPr>
      <w:r>
        <w:rPr>
          <w:b/>
          <w:bCs/>
          <w:color w:val="2E5395"/>
          <w:sz w:val="26"/>
          <w:szCs w:val="26"/>
        </w:rPr>
        <w:t xml:space="preserve">1.3 Decision: One Authoritative Coordinate Frame — Local NED on a WGS84 Origin</w:t>
      </w:r>
    </w:p>
    <w:p>
      <w:pPr>
        <w:spacing w:after="160" w:line="300"/>
      </w:pPr>
      <w:r>
        <w:rPr>
          <w:sz w:val="22"/>
          <w:szCs w:val="22"/>
        </w:rPr>
        <w:t xml:space="preserve">The recurring “confirm with the Lead Architect which axis is up” warning scattered across the Phase 1 and Phase 2 guides is the symptom of this never having been decided once, centrally. It's decided now, here, and this section is the single source of truth every other document should point back to instead of re-asking.</w:t>
      </w:r>
    </w:p>
    <w:p>
      <w:pPr>
        <w:pStyle w:val="ListParagraph"/>
        <w:numPr>
          <w:ilvl w:val="0"/>
          <w:numId w:val="2"/>
        </w:numPr>
        <w:spacing w:after="100" w:line="290"/>
      </w:pPr>
      <w:r>
        <w:rPr>
          <w:b/>
          <w:bCs/>
          <w:sz w:val="22"/>
          <w:szCs w:val="22"/>
        </w:rPr>
        <w:t xml:space="preserve">Frame: North-East-Down (NED), the standard convention in aircraft and UAV flight dynamics and navigation. </w:t>
      </w:r>
      <w:r>
        <w:rPr>
          <w:sz w:val="22"/>
          <w:szCs w:val="22"/>
        </w:rPr>
        <w:t xml:space="preserve">X = North, Y = East, Z = Down (positive Z is toward the ground, not away from it — this trips people up, it's intentional and standard).</w:t>
      </w:r>
    </w:p>
    <w:p>
      <w:pPr>
        <w:pStyle w:val="ListParagraph"/>
        <w:numPr>
          <w:ilvl w:val="0"/>
          <w:numId w:val="2"/>
        </w:numPr>
        <w:spacing w:after="100" w:line="290"/>
      </w:pPr>
      <w:r>
        <w:rPr>
          <w:b/>
          <w:bCs/>
          <w:sz w:val="22"/>
          <w:szCs w:val="22"/>
        </w:rPr>
        <w:t xml:space="preserve">Origin: a fixed WGS84 geodetic point (latitude, longitude, altitude) defined once per simulation scenario. </w:t>
      </w:r>
      <w:r>
        <w:rPr>
          <w:sz w:val="22"/>
          <w:szCs w:val="22"/>
        </w:rPr>
        <w:t xml:space="preserve">DroneState.position is always a local offset in meters from that point, never a raw geodetic coordinate itself — this keeps the physics math simple (flat-Earth-locally-valid) while still being unambiguously anchored to a real-world reference, exactly the pattern real INS/GPS-integrated avionics use.</w:t>
      </w:r>
    </w:p>
    <w:p>
      <w:pPr>
        <w:pStyle w:val="ListParagraph"/>
        <w:numPr>
          <w:ilvl w:val="0"/>
          <w:numId w:val="2"/>
        </w:numPr>
        <w:spacing w:after="100" w:line="290"/>
      </w:pPr>
      <w:r>
        <w:rPr>
          <w:b/>
          <w:bCs/>
          <w:sz w:val="22"/>
          <w:szCs w:val="22"/>
        </w:rPr>
        <w:t xml:space="preserve">This is a deliberate, scoped choice, not an oversight: </w:t>
      </w:r>
      <w:r>
        <w:rPr>
          <w:sz w:val="22"/>
          <w:szCs w:val="22"/>
        </w:rPr>
        <w:t xml:space="preserve">IEEE 1278.1 (DIS), the standard your original review comment referenced, actually uses global ECEF (Earth-Centered, Earth-Fixed) double-precision coordinates, not local NED, specifically because DIS needs to interoperate across many independently-simulated entities spread across the whole globe. This project doesn't need that yet — a single local NED frame is simpler and sufficient for one vehicle's flight dynamics. If a future phase needs to interoperate with real DIS-based range instrumentation or multi-vehicle simulation at global scale, that's a deliberate future ADR, not something to solve preemptively now.</w:t>
      </w:r>
    </w:p>
    <w:p>
      <w:pPr>
        <w:pStyle w:val="ListParagraph"/>
        <w:numPr>
          <w:ilvl w:val="0"/>
          <w:numId w:val="2"/>
        </w:numPr>
        <w:spacing w:after="100" w:line="290"/>
      </w:pPr>
      <w:r>
        <w:rPr>
          <w:b/>
          <w:bCs/>
          <w:sz w:val="22"/>
          <w:szCs w:val="22"/>
        </w:rPr>
        <w:t xml:space="preserve">UE5's own frame is different, and that's fine — as long as the conversion is named and singular. </w:t>
      </w:r>
      <w:r>
        <w:rPr>
          <w:sz w:val="22"/>
          <w:szCs w:val="22"/>
        </w:rPr>
        <w:t xml:space="preserve">UE5 uses a left-handed, Z-up world frame internally. Rust's physics core never talks in UE5's frame, and UE5's rendering code never talks in NED. The only place these two frames touch is the C++ wrapper class from Phase 1 Task 10 — add one explicitly named, documented conversion function there (for example FDronePhysicsBridge::NedToUnrealWorld) and route every single position read through it. No other file should ever do this conversion inline.</w:t>
      </w:r>
    </w:p>
    <w:p>
      <w:pPr>
        <w:pBdr>
          <w:left w:val="single" w:color="2E5395" w:sz="18" w:space="8"/>
        </w:pBdr>
        <w:shd w:fill="EAF0F8" w:val="clear"/>
        <w:spacing w:after="200" w:before="100"/>
        <w:ind w:left="100"/>
      </w:pPr>
      <w:r>
        <w:rPr>
          <w:i/>
          <w:iCs/>
          <w:color w:val="1F1F1F"/>
          <w:sz w:val="21"/>
          <w:szCs w:val="21"/>
        </w:rPr>
        <w:t xml:space="preserve">Validation point worth knowing: Unreal Engine 5.0+ introduced Large World Coordinates (LWC), switching its own internal transform system to double precision specifically to solve this exact large-world floating-point precision problem. Widening DroneState.position to f64 isn't over-engineering — it brings the physics core in line with what the rendering engine itself already had to do for the same reason.</w:t>
      </w:r>
    </w:p>
    <w:p>
      <w:pPr>
        <w:pStyle w:val="Heading2"/>
        <w:spacing w:after="150" w:before="300"/>
      </w:pPr>
      <w:r>
        <w:rPr>
          <w:b/>
          <w:bCs/>
          <w:color w:val="2E5395"/>
          <w:sz w:val="26"/>
          <w:szCs w:val="26"/>
        </w:rPr>
        <w:t xml:space="preserve">1.4 Precision Requirements for Physical Constants</w:t>
      </w:r>
    </w:p>
    <w:p>
      <w:pPr>
        <w:spacing w:after="160" w:line="300"/>
      </w:pPr>
      <w:r>
        <w:rPr>
          <w:sz w:val="22"/>
          <w:szCs w:val="22"/>
        </w:rPr>
        <w:t xml:space="preserve">It's not just DroneState — every named physical constant across the project (gravity, air density reference values, WGS84 parameters) should use full double precision internally, even where the final value gets narrowed to f32 for an FFI field. Use standard reference values, not rounded approximations: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shd w:fill="2E5395" w:val="clear"/>
            <w:tcMar>
              <w:top w:type="dxa" w:w="80"/>
              <w:left w:type="dxa" w:w="120"/>
              <w:bottom w:type="dxa" w:w="80"/>
              <w:right w:type="dxa" w:w="120"/>
            </w:tcMar>
            <w:vAlign w:val="center"/>
          </w:tcPr>
          <w:p>
            <w:r>
              <w:rPr>
                <w:b/>
                <w:bCs/>
                <w:color w:val="FFFFFF"/>
                <w:sz w:val="20"/>
                <w:szCs w:val="20"/>
              </w:rPr>
              <w:t xml:space="preserve">Constant</w:t>
            </w:r>
          </w:p>
        </w:tc>
        <w:tc>
          <w:tcPr>
            <w:tcW w:type="dxa" w:w="3276"/>
            <w:shd w:fill="2E5395" w:val="clear"/>
            <w:tcMar>
              <w:top w:type="dxa" w:w="80"/>
              <w:left w:type="dxa" w:w="120"/>
              <w:bottom w:type="dxa" w:w="80"/>
              <w:right w:type="dxa" w:w="120"/>
            </w:tcMar>
            <w:vAlign w:val="center"/>
          </w:tcPr>
          <w:p>
            <w:r>
              <w:rPr>
                <w:b/>
                <w:bCs/>
                <w:color w:val="FFFFFF"/>
                <w:sz w:val="20"/>
                <w:szCs w:val="20"/>
              </w:rPr>
              <w:t xml:space="preserve">Value to Use</w:t>
            </w:r>
          </w:p>
        </w:tc>
        <w:tc>
          <w:tcPr>
            <w:tcW w:type="dxa" w:w="3276"/>
            <w:shd w:fill="2E5395" w:val="clear"/>
            <w:tcMar>
              <w:top w:type="dxa" w:w="80"/>
              <w:left w:type="dxa" w:w="120"/>
              <w:bottom w:type="dxa" w:w="80"/>
              <w:right w:type="dxa" w:w="120"/>
            </w:tcMar>
            <w:vAlign w:val="center"/>
          </w:tcPr>
          <w:p>
            <w:r>
              <w:rPr>
                <w:b/>
                <w:bCs/>
                <w:color w:val="FFFFFF"/>
                <w:sz w:val="20"/>
                <w:szCs w:val="20"/>
              </w:rPr>
              <w:t xml:space="preserve">Source</w:t>
            </w:r>
          </w:p>
        </w:tc>
      </w:tr>
      <w:t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Standard gravity</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9.80665 m/s² (exact by definition)</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Already used correctly in the Phase 1 Foundations Guide — keep it.</w:t>
            </w:r>
          </w:p>
        </w:tc>
      </w:tr>
      <w:tr>
        <w:tc>
          <w:tcPr>
            <w:tcW w:type="dxa" w:w="2808"/>
            <w:shd w:fill="F5F8FC" w:val="clear"/>
            <w:tcMar>
              <w:top w:type="dxa" w:w="80"/>
              <w:left w:type="dxa" w:w="120"/>
              <w:bottom w:type="dxa" w:w="80"/>
              <w:right w:type="dxa" w:w="120"/>
            </w:tcMar>
            <w:vAlign w:val="center"/>
          </w:tcPr>
          <w:p>
            <w:r>
              <w:rPr>
                <w:sz w:val="20"/>
                <w:szCs w:val="20"/>
              </w:rPr>
              <w:t xml:space="preserve">WGS84 semi-major axis</w:t>
            </w:r>
          </w:p>
        </w:tc>
        <w:tc>
          <w:tcPr>
            <w:tcW w:type="dxa" w:w="3276"/>
            <w:shd w:fill="F5F8FC" w:val="clear"/>
            <w:tcMar>
              <w:top w:type="dxa" w:w="80"/>
              <w:left w:type="dxa" w:w="120"/>
              <w:bottom w:type="dxa" w:w="80"/>
              <w:right w:type="dxa" w:w="120"/>
            </w:tcMar>
            <w:vAlign w:val="center"/>
          </w:tcPr>
          <w:p>
            <w:r>
              <w:rPr>
                <w:sz w:val="20"/>
                <w:szCs w:val="20"/>
              </w:rPr>
              <w:t xml:space="preserve">6,378,137.0 m (exact, defining parameter)</w:t>
            </w:r>
          </w:p>
        </w:tc>
        <w:tc>
          <w:tcPr>
            <w:tcW w:type="dxa" w:w="3276"/>
            <w:shd w:fill="F5F8FC" w:val="clear"/>
            <w:tcMar>
              <w:top w:type="dxa" w:w="80"/>
              <w:left w:type="dxa" w:w="120"/>
              <w:bottom w:type="dxa" w:w="80"/>
              <w:right w:type="dxa" w:w="120"/>
            </w:tcMar>
            <w:vAlign w:val="center"/>
          </w:tcPr>
          <w:p>
            <w:r>
              <w:rPr>
                <w:sz w:val="20"/>
                <w:szCs w:val="20"/>
              </w:rPr>
              <w:t xml:space="preserve">NGA (National Geospatial-Intelligence Agency), WGS84 defining parameters</w:t>
            </w:r>
          </w:p>
        </w:tc>
      </w:tr>
      <w:t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WGS84 flattening</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1 / 298.257223563</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NGA, WGS84 defining parameters</w:t>
            </w:r>
          </w:p>
        </w:tc>
      </w:tr>
      <w:tr>
        <w:tc>
          <w:tcPr>
            <w:tcW w:type="dxa" w:w="2808"/>
            <w:shd w:fill="F5F8FC" w:val="clear"/>
            <w:tcMar>
              <w:top w:type="dxa" w:w="80"/>
              <w:left w:type="dxa" w:w="120"/>
              <w:bottom w:type="dxa" w:w="80"/>
              <w:right w:type="dxa" w:w="120"/>
            </w:tcMar>
            <w:vAlign w:val="center"/>
          </w:tcPr>
          <w:p>
            <w:r>
              <w:rPr>
                <w:sz w:val="20"/>
                <w:szCs w:val="20"/>
              </w:rPr>
              <w:t xml:space="preserve">ISA sea-level temperature/pressure</w:t>
            </w:r>
          </w:p>
        </w:tc>
        <w:tc>
          <w:tcPr>
            <w:tcW w:type="dxa" w:w="3276"/>
            <w:shd w:fill="F5F8FC" w:val="clear"/>
            <w:tcMar>
              <w:top w:type="dxa" w:w="80"/>
              <w:left w:type="dxa" w:w="120"/>
              <w:bottom w:type="dxa" w:w="80"/>
              <w:right w:type="dxa" w:w="120"/>
            </w:tcMar>
            <w:vAlign w:val="center"/>
          </w:tcPr>
          <w:p>
            <w:r>
              <w:rPr>
                <w:sz w:val="20"/>
                <w:szCs w:val="20"/>
              </w:rPr>
              <w:t xml:space="preserve">288.15 K / 101,325 Pa</w:t>
            </w:r>
          </w:p>
        </w:tc>
        <w:tc>
          <w:tcPr>
            <w:tcW w:type="dxa" w:w="3276"/>
            <w:shd w:fill="F5F8FC" w:val="clear"/>
            <w:tcMar>
              <w:top w:type="dxa" w:w="80"/>
              <w:left w:type="dxa" w:w="120"/>
              <w:bottom w:type="dxa" w:w="80"/>
              <w:right w:type="dxa" w:w="120"/>
            </w:tcMar>
            <w:vAlign w:val="center"/>
          </w:tcPr>
          <w:p>
            <w:r>
              <w:rPr>
                <w:sz w:val="20"/>
                <w:szCs w:val="20"/>
              </w:rPr>
              <w:t xml:space="preserve">Already used correctly in the Phase 2 aero guide — keep it.</w:t>
            </w:r>
          </w:p>
        </w:tc>
      </w:tr>
    </w:tbl>
    <w:p>
      <w:pPr>
        <w:pStyle w:val="Heading2"/>
        <w:spacing w:after="150" w:before="300"/>
      </w:pPr>
      <w:r>
        <w:rPr>
          <w:b/>
          <w:bCs/>
          <w:color w:val="2E5395"/>
          <w:sz w:val="26"/>
          <w:szCs w:val="26"/>
        </w:rPr>
        <w:t xml:space="preserve">1.5 Migration Checklist for This Change</w:t>
      </w:r>
    </w:p>
    <w:p>
      <w:pPr>
        <w:pStyle w:val="ListParagraph"/>
        <w:numPr>
          <w:ilvl w:val="0"/>
          <w:numId w:val="3"/>
        </w:numPr>
        <w:spacing w:after="130" w:line="290"/>
      </w:pPr>
      <w:r>
        <w:rPr>
          <w:sz w:val="22"/>
          <w:szCs w:val="22"/>
        </w:rPr>
        <w:t xml:space="preserve">Lead Architect updates DroneState in types.rs to the layout in Section 1.2, bumps the crate version, and adds the coordinate-frame doc comment shown above.</w:t>
      </w:r>
    </w:p>
    <w:p>
      <w:pPr>
        <w:pStyle w:val="ListParagraph"/>
        <w:numPr>
          <w:ilvl w:val="0"/>
          <w:numId w:val="3"/>
        </w:numPr>
        <w:spacing w:after="130" w:line="290"/>
      </w:pPr>
      <w:r>
        <w:rPr>
          <w:sz w:val="22"/>
          <w:szCs w:val="22"/>
        </w:rPr>
        <w:t xml:space="preserve">Lead Architect adds the single named NED→UE5 conversion function to the C++ wrapper class, and removes any inline axis-guessing that may already exist elsewhere.</w:t>
      </w:r>
    </w:p>
    <w:p>
      <w:pPr>
        <w:pStyle w:val="ListParagraph"/>
        <w:numPr>
          <w:ilvl w:val="0"/>
          <w:numId w:val="3"/>
        </w:numPr>
        <w:spacing w:after="130" w:line="290"/>
      </w:pPr>
      <w:r>
        <w:rPr>
          <w:sz w:val="22"/>
          <w:szCs w:val="22"/>
        </w:rPr>
        <w:t xml:space="preserve">Dev A updates integrator.rs's glam conversion for position specifically to f64 (glam provides DVec3 for this) — velocity/orientation/angular velocity conversions are unaffected.</w:t>
      </w:r>
    </w:p>
    <w:p>
      <w:pPr>
        <w:pStyle w:val="ListParagraph"/>
        <w:numPr>
          <w:ilvl w:val="0"/>
          <w:numId w:val="3"/>
        </w:numPr>
        <w:spacing w:after="130" w:line="290"/>
      </w:pPr>
      <w:r>
        <w:rPr>
          <w:sz w:val="22"/>
          <w:szCs w:val="22"/>
        </w:rPr>
        <w:t xml:space="preserve">Dev B and Dev C check aero.rs and mixer.rs for any place that reads position directly, and update the type accordingly — most of their logic (drag, thrust, force/torque summation) doesn't depend on position at all and needs no change.</w:t>
      </w:r>
    </w:p>
    <w:p>
      <w:pPr>
        <w:pStyle w:val="ListParagraph"/>
        <w:numPr>
          <w:ilvl w:val="0"/>
          <w:numId w:val="3"/>
        </w:numPr>
        <w:spacing w:after="130" w:line="290"/>
      </w:pPr>
      <w:r>
        <w:rPr>
          <w:sz w:val="22"/>
          <w:szCs w:val="22"/>
        </w:rPr>
        <w:t xml:space="preserve">Whole team: rerun the full Group A–E Phase 1 test suite plus the Phase 2 integration test after this change, before merging — this is exactly the kind of change that should never land without every existing regression test passing first.</w:t>
      </w:r>
    </w:p>
    <w:p>
      <w:pPr>
        <w:pStyle w:val="Heading1"/>
        <w:pBdr>
          <w:bottom w:val="single" w:color="2E5395" w:sz="6" w:space="4"/>
        </w:pBdr>
        <w:spacing w:after="200" w:before="400"/>
      </w:pPr>
      <w:r>
        <w:rPr>
          <w:b/>
          <w:bCs/>
          <w:color w:val="1F3864"/>
          <w:sz w:val="30"/>
          <w:szCs w:val="30"/>
        </w:rPr>
        <w:t xml:space="preserve">PART II — Surrogate Model Provenance &amp; Versioning Gate</w:t>
      </w:r>
    </w:p>
    <w:p>
      <w:pPr>
        <w:pStyle w:val="Heading2"/>
        <w:spacing w:after="150" w:before="300"/>
      </w:pPr>
      <w:r>
        <w:rPr>
          <w:b/>
          <w:bCs/>
          <w:color w:val="2E5395"/>
          <w:sz w:val="26"/>
          <w:szCs w:val="26"/>
        </w:rPr>
        <w:t xml:space="preserve">2.1 The Problem, Restated Precisely</w:t>
      </w:r>
    </w:p>
    <w:p>
      <w:pPr>
        <w:spacing w:after="160" w:line="300"/>
      </w:pPr>
      <w:r>
        <w:rPr>
          <w:sz w:val="22"/>
          <w:szCs w:val="22"/>
        </w:rPr>
        <w:t xml:space="preserve">A trained CFD or FEA surrogate is only valid for the exact frame/propeller geometry it was trained against. Nothing currently ties a trained .onnx file to that geometry. If the frame CAD changes and someone forgets to retrain, the structural or aerodynamic surrogate will keep answering questions about a drone that no longer physically exists — and it will do so confidently and inside its own reported validated envelope, since the envelope check only knows about flight condition (angle, speed), not about which physical design it was trained on. This is the most serious Phase 2 gap flagged in the review, and it needs a hard gate, not a documentation note asking people to remember.</w:t>
      </w:r>
    </w:p>
    <w:p>
      <w:pPr>
        <w:pStyle w:val="Heading2"/>
        <w:spacing w:after="150" w:before="300"/>
      </w:pPr>
      <w:r>
        <w:rPr>
          <w:b/>
          <w:bCs/>
          <w:color w:val="2E5395"/>
          <w:sz w:val="26"/>
          <w:szCs w:val="26"/>
        </w:rPr>
        <w:t xml:space="preserve">2.2 Decision: Every Model File Carries Its Own Provenance, Checked at Load Time</w:t>
      </w:r>
    </w:p>
    <w:p>
      <w:pPr>
        <w:spacing w:after="160" w:line="300"/>
      </w:pPr>
      <w:r>
        <w:rPr>
          <w:sz w:val="22"/>
          <w:szCs w:val="22"/>
        </w:rPr>
        <w:t xml:space="preserve">ONNX (the export format your Lead Architect guide already recommends) natively supports arbitrary key-value metadata embedded directly in the model file itself (metadata_props) — no separate sidecar file to lose or forget to copy. Use this.</w:t>
      </w:r>
    </w:p>
    <w:p>
      <w:pPr>
        <w:spacing w:after="0" w:before="160"/>
      </w:pPr>
      <w:r>
        <w:rPr>
          <w:rFonts w:ascii="Consolas" w:cs="Consolas" w:eastAsia="Consolas" w:hAnsi="Consolas"/>
          <w:b/>
          <w:bCs/>
          <w:color w:val="444444"/>
          <w:sz w:val="19"/>
          <w:szCs w:val="19"/>
        </w:rPr>
        <w:t xml:space="preserve">Required ONNX metadata on every exported surrogate</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geometry_hash    : SHA-256 hex string of the canonical geometry export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this model was trained against (frame CAD export,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propeller definition file, or parametric design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vector — whichever is the source of truth for that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subsystem's geometry)</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design_revision  : the design revision ID/tag this geometry corresponds to</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trained_at_utc   : ISO-8601 timestamp of training completion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trained_by       : the training script's own git commit SHA, so the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exact training code that produced this model is</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also traceable, not just the geometry</w:t>
      </w:r>
    </w:p>
    <w:p>
      <w:pPr>
        <w:spacing w:after="200"/>
      </w:pPr>
    </w:p>
    <w:p>
      <w:pPr>
        <w:spacing w:after="0" w:before="160"/>
      </w:pPr>
      <w:r>
        <w:rPr>
          <w:rFonts w:ascii="Consolas" w:cs="Consolas" w:eastAsia="Consolas" w:hAnsi="Consolas"/>
          <w:b/>
          <w:bCs/>
          <w:color w:val="444444"/>
          <w:sz w:val="19"/>
          <w:szCs w:val="19"/>
        </w:rPr>
        <w:t xml:space="preserve">physics_core/src/surrogate/mod.rs — load-time check (addition to the Lead Architect's Phase 2 Task 4)</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CURRENT_GEOMETRY_HASH is computed at build time (via build.rs) from</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the canonical geometry export currently checked into the repo — it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always reflects "the geometry this exact build believes is current."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const CURRENT_GEOMETRY_HASH: &amp;str = env!("GEOMETRY_HASH");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pub fn load_surrogate(path: &amp;str) -&gt; Result&lt;SurrogateHandle, SurrogateLoadError&gt;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let model = load_onnx_model(path)?;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let embedded_hash = model.metadata_get("geometry_hash")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.ok_or(SurrogateLoadError::MissingProvenance)?;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if embedded_hash != CURRENT_GEOMETRY_HASH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Never silently proceed. This is exactly the failure mode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Section 2.1 describes — the query would otherwise look</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perfectly "in envelope" and be confidently wrong.</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return Err(SurrogateLoadError::GeometryMismatch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expected: CURRENT_GEOMETRY_HASH.to_string(),</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found: embedded_hash,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Ok(SurrogateHandle::new(model))</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t>
      </w:r>
    </w:p>
    <w:p>
      <w:pPr>
        <w:spacing w:after="200"/>
      </w:pPr>
    </w:p>
    <w:p>
      <w:pPr>
        <w:pStyle w:val="ListParagraph"/>
        <w:numPr>
          <w:ilvl w:val="0"/>
          <w:numId w:val="3"/>
        </w:numPr>
        <w:spacing w:after="130" w:line="290"/>
      </w:pPr>
      <w:r>
        <w:rPr>
          <w:sz w:val="22"/>
          <w:szCs w:val="22"/>
        </w:rPr>
        <w:t xml:space="preserve">Lead Architect adds a build.rs step that computes GEOMETRY_HASH from the current canonical geometry export and exposes it as a build-time environment variable, the same pattern already used for cbindgen's own header generation.</w:t>
      </w:r>
    </w:p>
    <w:p>
      <w:pPr>
        <w:pStyle w:val="ListParagraph"/>
        <w:numPr>
          <w:ilvl w:val="0"/>
          <w:numId w:val="3"/>
        </w:numPr>
        <w:spacing w:after="130" w:line="290"/>
      </w:pPr>
      <w:r>
        <w:rPr>
          <w:sz w:val="22"/>
          <w:szCs w:val="22"/>
        </w:rPr>
        <w:t xml:space="preserve">Dev A and Dev B's training scripts embed geometry_hash, design_revision, trained_at_utc, and trained_by into every exported .onnx file as a required, non-optional final export step — add this as an explicit checklist item to both their Phase 2 guides.</w:t>
      </w:r>
    </w:p>
    <w:p>
      <w:pPr>
        <w:pStyle w:val="ListParagraph"/>
        <w:numPr>
          <w:ilvl w:val="0"/>
          <w:numId w:val="3"/>
        </w:numPr>
        <w:spacing w:after="130" w:line="290"/>
      </w:pPr>
      <w:r>
        <w:rPr>
          <w:sz w:val="22"/>
          <w:szCs w:val="22"/>
        </w:rPr>
        <w:t xml:space="preserve">ffi_load_surrogate_model returns a distinct, clearly-named error code for a provenance mismatch (not the generic “load failed” code), so the OSD/logs can say specifically “this model was trained against an outdated design” rather than a vague failure.</w:t>
      </w:r>
    </w:p>
    <w:p>
      <w:pPr>
        <w:pStyle w:val="ListParagraph"/>
        <w:numPr>
          <w:ilvl w:val="0"/>
          <w:numId w:val="3"/>
        </w:numPr>
        <w:spacing w:after="130" w:line="290"/>
      </w:pPr>
      <w:r>
        <w:rPr>
          <w:sz w:val="22"/>
          <w:szCs w:val="22"/>
        </w:rPr>
        <w:t xml:space="preserve">Whenever the frame or propeller geometry changes, whoever makes that change is responsible for bumping design_revision in the canonical geometry file — this single number is what invalidates every trained model downstream, forcing a deliberate retrain instead of a silent one.</w:t>
      </w:r>
    </w:p>
    <w:p>
      <w:pPr>
        <w:pStyle w:val="Heading1"/>
        <w:pBdr>
          <w:bottom w:val="single" w:color="2E5395" w:sz="6" w:space="4"/>
        </w:pBdr>
        <w:spacing w:after="200" w:before="400"/>
      </w:pPr>
      <w:r>
        <w:rPr>
          <w:b/>
          <w:bCs/>
          <w:color w:val="1F3864"/>
          <w:sz w:val="30"/>
          <w:szCs w:val="30"/>
        </w:rPr>
        <w:t xml:space="preserve">PART III — Software Assurance &amp; Hazard Classification Framework</w:t>
      </w:r>
    </w:p>
    <w:p>
      <w:pPr>
        <w:pStyle w:val="Heading2"/>
        <w:spacing w:after="150" w:before="300"/>
      </w:pPr>
      <w:r>
        <w:rPr>
          <w:b/>
          <w:bCs/>
          <w:color w:val="2E5395"/>
          <w:sz w:val="26"/>
          <w:szCs w:val="26"/>
        </w:rPr>
        <w:t xml:space="preserve">3.1 Why This Exists</w:t>
      </w:r>
    </w:p>
    <w:p>
      <w:pPr>
        <w:spacing w:after="160" w:line="300"/>
      </w:pPr>
      <w:r>
        <w:rPr>
          <w:sz w:val="22"/>
          <w:szCs w:val="22"/>
        </w:rPr>
        <w:t xml:space="preserve">Not every file in this project needs the same amount of process. A UE5 debug-arrow color constant and the RK4 integrator's quaternion normalization step are not the same kind of risk, and treating them identically either wastes effort on the former or under-protects the latter. DO-178C's core idea — assign a Design Assurance Level based on what happens if this specific thing is wrong — is the right tool for deciding that deliberately, instead of by habit or convenience.</w:t>
      </w:r>
    </w:p>
    <w:p>
      <w:pPr>
        <w:pStyle w:val="Heading3"/>
        <w:spacing w:after="100" w:before="220"/>
      </w:pPr>
      <w:r>
        <w:rPr>
          <w:b/>
          <w:bCs/>
          <w:color w:val="1F3864"/>
          <w:sz w:val="23"/>
          <w:szCs w:val="23"/>
        </w:rPr>
        <w:t xml:space="preserve">3.1.1 Your Stated Goal Changes Where the Bar Sits</w:t>
      </w:r>
    </w:p>
    <w:p>
      <w:pPr>
        <w:spacing w:after="160" w:line="300"/>
      </w:pPr>
      <w:r>
        <w:rPr>
          <w:sz w:val="22"/>
          <w:szCs w:val="22"/>
        </w:rPr>
        <w:t xml:space="preserve">Because this project's explicit goal is 1:1 sim-to-reality behavioral correspondence — not “a reasonable simulator, upgraded later if it ever flies” — the physics-core modules are classified at flight-candidate rigor starting now, in this phase, not deferred to a later “now it's serious” milestone. The distinction this framework draws isn't “sim vs. real” — it's “does this code's correctness determine whether simulated behavior matches physical reality” versus “does this code only affect what a human sees or which design a search algorithm tries next.” The first category gets real rigor immediately.</w:t>
      </w:r>
    </w:p>
    <w:p>
      <w:pPr>
        <w:pStyle w:val="Heading2"/>
        <w:spacing w:after="150" w:before="300"/>
      </w:pPr>
      <w:r>
        <w:rPr>
          <w:b/>
          <w:bCs/>
          <w:color w:val="2E5395"/>
          <w:sz w:val="26"/>
          <w:szCs w:val="26"/>
        </w:rPr>
        <w:t xml:space="preserve">3.2 The Classification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808"/>
        <w:gridCol w:w="2246"/>
        <w:gridCol w:w="2808"/>
      </w:tblGrid>
      <w:tr>
        <w:trPr>
          <w:tblHeader/>
        </w:trPr>
        <w:tc>
          <w:tcPr>
            <w:tcW w:type="dxa" w:w="1498"/>
            <w:shd w:fill="2E5395" w:val="clear"/>
            <w:tcMar>
              <w:top w:type="dxa" w:w="80"/>
              <w:left w:type="dxa" w:w="120"/>
              <w:bottom w:type="dxa" w:w="80"/>
              <w:right w:type="dxa" w:w="120"/>
            </w:tcMar>
            <w:vAlign w:val="center"/>
          </w:tcPr>
          <w:p>
            <w:r>
              <w:rPr>
                <w:b/>
                <w:bCs/>
                <w:color w:val="FFFFFF"/>
                <w:sz w:val="20"/>
                <w:szCs w:val="20"/>
              </w:rPr>
              <w:t xml:space="preserve">Tier</w:t>
            </w:r>
          </w:p>
        </w:tc>
        <w:tc>
          <w:tcPr>
            <w:tcW w:type="dxa" w:w="2808"/>
            <w:shd w:fill="2E5395" w:val="clear"/>
            <w:tcMar>
              <w:top w:type="dxa" w:w="80"/>
              <w:left w:type="dxa" w:w="120"/>
              <w:bottom w:type="dxa" w:w="80"/>
              <w:right w:type="dxa" w:w="120"/>
            </w:tcMar>
            <w:vAlign w:val="center"/>
          </w:tcPr>
          <w:p>
            <w:r>
              <w:rPr>
                <w:b/>
                <w:bCs/>
                <w:color w:val="FFFFFF"/>
                <w:sz w:val="20"/>
                <w:szCs w:val="20"/>
              </w:rPr>
              <w:t xml:space="preserve">Plain Meaning</w:t>
            </w:r>
          </w:p>
        </w:tc>
        <w:tc>
          <w:tcPr>
            <w:tcW w:type="dxa" w:w="2246"/>
            <w:shd w:fill="2E5395" w:val="clear"/>
            <w:tcMar>
              <w:top w:type="dxa" w:w="80"/>
              <w:left w:type="dxa" w:w="120"/>
              <w:bottom w:type="dxa" w:w="80"/>
              <w:right w:type="dxa" w:w="120"/>
            </w:tcMar>
            <w:vAlign w:val="center"/>
          </w:tcPr>
          <w:p>
            <w:r>
              <w:rPr>
                <w:b/>
                <w:bCs/>
                <w:color w:val="FFFFFF"/>
                <w:sz w:val="20"/>
                <w:szCs w:val="20"/>
              </w:rPr>
              <w:t xml:space="preserve">Modeled On</w:t>
            </w:r>
          </w:p>
        </w:tc>
        <w:tc>
          <w:tcPr>
            <w:tcW w:type="dxa" w:w="2808"/>
            <w:shd w:fill="2E5395" w:val="clear"/>
            <w:tcMar>
              <w:top w:type="dxa" w:w="80"/>
              <w:left w:type="dxa" w:w="120"/>
              <w:bottom w:type="dxa" w:w="80"/>
              <w:right w:type="dxa" w:w="120"/>
            </w:tcMar>
            <w:vAlign w:val="center"/>
          </w:tcPr>
          <w:p>
            <w:r>
              <w:rPr>
                <w:b/>
                <w:bCs/>
                <w:color w:val="FFFFFF"/>
                <w:sz w:val="20"/>
                <w:szCs w:val="20"/>
              </w:rPr>
              <w:t xml:space="preserve">What It Requires</w:t>
            </w:r>
          </w:p>
        </w:tc>
      </w:tr>
      <w:tr>
        <w:tc>
          <w:tcPr>
            <w:tcW w:type="dxa" w:w="1498"/>
            <w:shd w:fill="FFFFFF" w:val="clear"/>
            <w:tcMar>
              <w:top w:type="dxa" w:w="80"/>
              <w:left w:type="dxa" w:w="120"/>
              <w:bottom w:type="dxa" w:w="80"/>
              <w:right w:type="dxa" w:w="120"/>
            </w:tcMar>
            <w:vAlign w:val="center"/>
          </w:tcPr>
          <w:p>
            <w:r>
              <w:rPr>
                <w:b w:val="false"/>
                <w:bCs w:val="false"/>
                <w:color w:val="000000"/>
                <w:sz w:val="20"/>
                <w:szCs w:val="20"/>
              </w:rPr>
              <w:t xml:space="preserve">Tier F — Flight-Candidate Physics</w:t>
            </w:r>
          </w:p>
        </w:tc>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Code whose output directly determines simulated physical behavior, and which is intended to be bit-for-bit reference-correct against real-world hardware.</w:t>
            </w:r>
          </w:p>
        </w:tc>
        <w:tc>
          <w:tcPr>
            <w:tcW w:type="dxa" w:w="2246"/>
            <w:shd w:fill="FFFFFF" w:val="clear"/>
            <w:tcMar>
              <w:top w:type="dxa" w:w="80"/>
              <w:left w:type="dxa" w:w="120"/>
              <w:bottom w:type="dxa" w:w="80"/>
              <w:right w:type="dxa" w:w="120"/>
            </w:tcMar>
            <w:vAlign w:val="center"/>
          </w:tcPr>
          <w:p>
            <w:r>
              <w:rPr>
                <w:b w:val="false"/>
                <w:bCs w:val="false"/>
                <w:color w:val="000000"/>
                <w:sz w:val="20"/>
                <w:szCs w:val="20"/>
              </w:rPr>
              <w:t xml:space="preserve">DO-178C DAL C–equivalent internal rigor; DO-330 Tool Type 1 (output could insert an error into a flight-relevant result)</w:t>
            </w:r>
          </w:p>
        </w:tc>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Mandatory independent code review (not self-approved). Full regression suite must pass before merge. No PLACEHOLDER constants permitted (Part IV of this framework's companion CI addendum). Requirements-to-test traceability (Section 3.5).</w:t>
            </w:r>
          </w:p>
        </w:tc>
      </w:tr>
      <w:tr>
        <w:tc>
          <w:tcPr>
            <w:tcW w:type="dxa" w:w="1498"/>
            <w:shd w:fill="F5F8FC" w:val="clear"/>
            <w:tcMar>
              <w:top w:type="dxa" w:w="80"/>
              <w:left w:type="dxa" w:w="120"/>
              <w:bottom w:type="dxa" w:w="80"/>
              <w:right w:type="dxa" w:w="120"/>
            </w:tcMar>
            <w:vAlign w:val="center"/>
          </w:tcPr>
          <w:p>
            <w:r>
              <w:rPr>
                <w:sz w:val="20"/>
                <w:szCs w:val="20"/>
              </w:rPr>
              <w:t xml:space="preserve">Tier D — Design &amp; Optimization Tooling</w:t>
            </w:r>
          </w:p>
        </w:tc>
        <w:tc>
          <w:tcPr>
            <w:tcW w:type="dxa" w:w="2808"/>
            <w:shd w:fill="F5F8FC" w:val="clear"/>
            <w:tcMar>
              <w:top w:type="dxa" w:w="80"/>
              <w:left w:type="dxa" w:w="120"/>
              <w:bottom w:type="dxa" w:w="80"/>
              <w:right w:type="dxa" w:w="120"/>
            </w:tcMar>
            <w:vAlign w:val="center"/>
          </w:tcPr>
          <w:p>
            <w:r>
              <w:rPr>
                <w:sz w:val="20"/>
                <w:szCs w:val="20"/>
              </w:rPr>
              <w:t xml:space="preserve">Code that informs a design decision but always passes through human review and eventual physical validation before that decision becomes real hardware.</w:t>
            </w:r>
          </w:p>
        </w:tc>
        <w:tc>
          <w:tcPr>
            <w:tcW w:type="dxa" w:w="2246"/>
            <w:shd w:fill="F5F8FC" w:val="clear"/>
            <w:tcMar>
              <w:top w:type="dxa" w:w="80"/>
              <w:left w:type="dxa" w:w="120"/>
              <w:bottom w:type="dxa" w:w="80"/>
              <w:right w:type="dxa" w:w="120"/>
            </w:tcMar>
            <w:vAlign w:val="center"/>
          </w:tcPr>
          <w:p>
            <w:r>
              <w:rPr>
                <w:sz w:val="20"/>
                <w:szCs w:val="20"/>
              </w:rPr>
              <w:t xml:space="preserve">DO-330 Tool Type 2–3 (verifies/influences, doesn't directly become flight software)</w:t>
            </w:r>
          </w:p>
        </w:tc>
        <w:tc>
          <w:tcPr>
            <w:tcW w:type="dxa" w:w="2808"/>
            <w:shd w:fill="F5F8FC" w:val="clear"/>
            <w:tcMar>
              <w:top w:type="dxa" w:w="80"/>
              <w:left w:type="dxa" w:w="120"/>
              <w:bottom w:type="dxa" w:w="80"/>
              <w:right w:type="dxa" w:w="120"/>
            </w:tcMar>
            <w:vAlign w:val="center"/>
          </w:tcPr>
          <w:p>
            <w:r>
              <w:rPr>
                <w:sz w:val="20"/>
                <w:szCs w:val="20"/>
              </w:rPr>
              <w:t xml:space="preserve">Standard code review. Validated-envelope and provenance checks (Part II) enforced. Output changes to an active model require a reviewed PR, never a silent auto-merge.</w:t>
            </w:r>
          </w:p>
        </w:tc>
      </w:tr>
      <w:tr>
        <w:tc>
          <w:tcPr>
            <w:tcW w:type="dxa" w:w="1498"/>
            <w:shd w:fill="FFFFFF" w:val="clear"/>
            <w:tcMar>
              <w:top w:type="dxa" w:w="80"/>
              <w:left w:type="dxa" w:w="120"/>
              <w:bottom w:type="dxa" w:w="80"/>
              <w:right w:type="dxa" w:w="120"/>
            </w:tcMar>
            <w:vAlign w:val="center"/>
          </w:tcPr>
          <w:p>
            <w:r>
              <w:rPr>
                <w:b w:val="false"/>
                <w:bCs w:val="false"/>
                <w:color w:val="000000"/>
                <w:sz w:val="20"/>
                <w:szCs w:val="20"/>
              </w:rPr>
              <w:t xml:space="preserve">Tier V — Visualization &amp; Non-Flight-Relevant</w:t>
            </w:r>
          </w:p>
        </w:tc>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Code with zero influence on simulated physical behavior — rendering, OSD display, editor tooling, debug arrow colors.</w:t>
            </w:r>
          </w:p>
        </w:tc>
        <w:tc>
          <w:tcPr>
            <w:tcW w:type="dxa" w:w="2246"/>
            <w:shd w:fill="FFFFFF" w:val="clear"/>
            <w:tcMar>
              <w:top w:type="dxa" w:w="80"/>
              <w:left w:type="dxa" w:w="120"/>
              <w:bottom w:type="dxa" w:w="80"/>
              <w:right w:type="dxa" w:w="120"/>
            </w:tcMar>
            <w:vAlign w:val="center"/>
          </w:tcPr>
          <w:p>
            <w:r>
              <w:rPr>
                <w:b w:val="false"/>
                <w:bCs w:val="false"/>
                <w:color w:val="000000"/>
                <w:sz w:val="20"/>
                <w:szCs w:val="20"/>
              </w:rPr>
              <w:t xml:space="preserve">Ordinary software engineering practice; no DAL equivalent needed</w:t>
            </w:r>
          </w:p>
        </w:tc>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Normal PR review. No special traceability or provenance requirements.</w:t>
            </w:r>
          </w:p>
        </w:tc>
      </w:tr>
      <w:tr>
        <w:tc>
          <w:tcPr>
            <w:tcW w:type="dxa" w:w="1498"/>
            <w:shd w:fill="F5F8FC" w:val="clear"/>
            <w:tcMar>
              <w:top w:type="dxa" w:w="80"/>
              <w:left w:type="dxa" w:w="120"/>
              <w:bottom w:type="dxa" w:w="80"/>
              <w:right w:type="dxa" w:w="120"/>
            </w:tcMar>
            <w:vAlign w:val="center"/>
          </w:tcPr>
          <w:p>
            <w:r>
              <w:rPr>
                <w:sz w:val="20"/>
                <w:szCs w:val="20"/>
              </w:rPr>
              <w:t xml:space="preserve">Tier H — Flight-Hardware Candidate (not yet active)</w:t>
            </w:r>
          </w:p>
        </w:tc>
        <w:tc>
          <w:tcPr>
            <w:tcW w:type="dxa" w:w="2808"/>
            <w:shd w:fill="F5F8FC" w:val="clear"/>
            <w:tcMar>
              <w:top w:type="dxa" w:w="80"/>
              <w:left w:type="dxa" w:w="120"/>
              <w:bottom w:type="dxa" w:w="80"/>
              <w:right w:type="dxa" w:w="120"/>
            </w:tcMar>
            <w:vAlign w:val="center"/>
          </w:tcPr>
          <w:p>
            <w:r>
              <w:rPr>
                <w:sz w:val="20"/>
                <w:szCs w:val="20"/>
              </w:rPr>
              <w:t xml:space="preserve">Any code path someone proposes porting to, or running on, real flight hardware (the Phase 4 STM32H7 HIL work and beyond).</w:t>
            </w:r>
          </w:p>
        </w:tc>
        <w:tc>
          <w:tcPr>
            <w:tcW w:type="dxa" w:w="2246"/>
            <w:shd w:fill="F5F8FC" w:val="clear"/>
            <w:tcMar>
              <w:top w:type="dxa" w:w="80"/>
              <w:left w:type="dxa" w:w="120"/>
              <w:bottom w:type="dxa" w:w="80"/>
              <w:right w:type="dxa" w:w="120"/>
            </w:tcMar>
            <w:vAlign w:val="center"/>
          </w:tcPr>
          <w:p>
            <w:r>
              <w:rPr>
                <w:sz w:val="20"/>
                <w:szCs w:val="20"/>
              </w:rPr>
              <w:t xml:space="preserve">Full DO-178C process, formally applied — this tier is a trigger, not a self-certification</w:t>
            </w:r>
          </w:p>
        </w:tc>
        <w:tc>
          <w:tcPr>
            <w:tcW w:type="dxa" w:w="2808"/>
            <w:shd w:fill="F5F8FC" w:val="clear"/>
            <w:tcMar>
              <w:top w:type="dxa" w:w="80"/>
              <w:left w:type="dxa" w:w="120"/>
              <w:bottom w:type="dxa" w:w="80"/>
              <w:right w:type="dxa" w:w="120"/>
            </w:tcMar>
            <w:vAlign w:val="center"/>
          </w:tcPr>
          <w:p>
            <w:r>
              <w:rPr>
                <w:sz w:val="20"/>
                <w:szCs w:val="20"/>
              </w:rPr>
              <w:t xml:space="preserve">MUST NOT be entered by simply relabeling existing sim code. Requires a dedicated Functional Hazard Assessment and DAL determination performed with a qualified safety engineer before any code moves here. See Section 3.6.</w:t>
            </w:r>
          </w:p>
        </w:tc>
      </w:tr>
    </w:tbl>
    <w:p>
      <w:pPr>
        <w:pStyle w:val="Heading2"/>
        <w:spacing w:after="150" w:before="300"/>
      </w:pPr>
      <w:r>
        <w:rPr>
          <w:b/>
          <w:bCs/>
          <w:color w:val="2E5395"/>
          <w:sz w:val="26"/>
          <w:szCs w:val="26"/>
        </w:rPr>
        <w:t xml:space="preserve">3.3 Module Classification — What's Actually in the Project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123"/>
        <w:gridCol w:w="5429"/>
      </w:tblGrid>
      <w:tr>
        <w:trPr>
          <w:tblHeader/>
        </w:trPr>
        <w:tc>
          <w:tcPr>
            <w:tcW w:type="dxa" w:w="2808"/>
            <w:shd w:fill="2E5395" w:val="clear"/>
            <w:tcMar>
              <w:top w:type="dxa" w:w="80"/>
              <w:left w:type="dxa" w:w="120"/>
              <w:bottom w:type="dxa" w:w="80"/>
              <w:right w:type="dxa" w:w="120"/>
            </w:tcMar>
            <w:vAlign w:val="center"/>
          </w:tcPr>
          <w:p>
            <w:r>
              <w:rPr>
                <w:b/>
                <w:bCs/>
                <w:color w:val="FFFFFF"/>
                <w:sz w:val="20"/>
                <w:szCs w:val="20"/>
              </w:rPr>
              <w:t xml:space="preserve">Module / File</w:t>
            </w:r>
          </w:p>
        </w:tc>
        <w:tc>
          <w:tcPr>
            <w:tcW w:type="dxa" w:w="1123"/>
            <w:shd w:fill="2E5395" w:val="clear"/>
            <w:tcMar>
              <w:top w:type="dxa" w:w="80"/>
              <w:left w:type="dxa" w:w="120"/>
              <w:bottom w:type="dxa" w:w="80"/>
              <w:right w:type="dxa" w:w="120"/>
            </w:tcMar>
            <w:vAlign w:val="center"/>
          </w:tcPr>
          <w:p>
            <w:r>
              <w:rPr>
                <w:b/>
                <w:bCs/>
                <w:color w:val="FFFFFF"/>
                <w:sz w:val="20"/>
                <w:szCs w:val="20"/>
              </w:rPr>
              <w:t xml:space="preserve">Tier</w:t>
            </w:r>
          </w:p>
        </w:tc>
        <w:tc>
          <w:tcPr>
            <w:tcW w:type="dxa" w:w="5429"/>
            <w:shd w:fill="2E5395" w:val="clear"/>
            <w:tcMar>
              <w:top w:type="dxa" w:w="80"/>
              <w:left w:type="dxa" w:w="120"/>
              <w:bottom w:type="dxa" w:w="80"/>
              <w:right w:type="dxa" w:w="120"/>
            </w:tcMar>
            <w:vAlign w:val="center"/>
          </w:tcPr>
          <w:p>
            <w:r>
              <w:rPr>
                <w:b/>
                <w:bCs/>
                <w:color w:val="FFFFFF"/>
                <w:sz w:val="20"/>
                <w:szCs w:val="20"/>
              </w:rPr>
              <w:t xml:space="preserve">Why</w:t>
            </w:r>
          </w:p>
        </w:tc>
      </w:tr>
      <w:t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types.rs (DroneState, ControlInputs, surrogate structs)</w:t>
            </w:r>
          </w:p>
        </w:tc>
        <w:tc>
          <w:tcPr>
            <w:tcW w:type="dxa" w:w="1123"/>
            <w:shd w:fill="FFFFFF" w:val="clear"/>
            <w:tcMar>
              <w:top w:type="dxa" w:w="80"/>
              <w:left w:type="dxa" w:w="120"/>
              <w:bottom w:type="dxa" w:w="80"/>
              <w:right w:type="dxa" w:w="120"/>
            </w:tcMar>
            <w:vAlign w:val="center"/>
          </w:tcPr>
          <w:p>
            <w:r>
              <w:rPr>
                <w:b w:val="false"/>
                <w:bCs w:val="false"/>
                <w:color w:val="000000"/>
                <w:sz w:val="20"/>
                <w:szCs w:val="20"/>
              </w:rPr>
              <w:t xml:space="preserve">F</w:t>
            </w:r>
          </w:p>
        </w:tc>
        <w:tc>
          <w:tcPr>
            <w:tcW w:type="dxa" w:w="5429"/>
            <w:shd w:fill="FFFFFF" w:val="clear"/>
            <w:tcMar>
              <w:top w:type="dxa" w:w="80"/>
              <w:left w:type="dxa" w:w="120"/>
              <w:bottom w:type="dxa" w:w="80"/>
              <w:right w:type="dxa" w:w="120"/>
            </w:tcMar>
            <w:vAlign w:val="center"/>
          </w:tcPr>
          <w:p>
            <w:r>
              <w:rPr>
                <w:b w:val="false"/>
                <w:bCs w:val="false"/>
                <w:color w:val="000000"/>
                <w:sz w:val="20"/>
                <w:szCs w:val="20"/>
              </w:rPr>
              <w:t xml:space="preserve">Every other tier's data ultimately flows through this layout; an error here corrupts everything downstream.</w:t>
            </w:r>
          </w:p>
        </w:tc>
      </w:tr>
      <w:tr>
        <w:tc>
          <w:tcPr>
            <w:tcW w:type="dxa" w:w="2808"/>
            <w:shd w:fill="F5F8FC" w:val="clear"/>
            <w:tcMar>
              <w:top w:type="dxa" w:w="80"/>
              <w:left w:type="dxa" w:w="120"/>
              <w:bottom w:type="dxa" w:w="80"/>
              <w:right w:type="dxa" w:w="120"/>
            </w:tcMar>
            <w:vAlign w:val="center"/>
          </w:tcPr>
          <w:p>
            <w:r>
              <w:rPr>
                <w:sz w:val="20"/>
                <w:szCs w:val="20"/>
              </w:rPr>
              <w:t xml:space="preserve">integrator.rs (RK4 6DoF)</w:t>
            </w:r>
          </w:p>
        </w:tc>
        <w:tc>
          <w:tcPr>
            <w:tcW w:type="dxa" w:w="1123"/>
            <w:shd w:fill="F5F8FC" w:val="clear"/>
            <w:tcMar>
              <w:top w:type="dxa" w:w="80"/>
              <w:left w:type="dxa" w:w="120"/>
              <w:bottom w:type="dxa" w:w="80"/>
              <w:right w:type="dxa" w:w="120"/>
            </w:tcMar>
            <w:vAlign w:val="center"/>
          </w:tcPr>
          <w:p>
            <w:r>
              <w:rPr>
                <w:sz w:val="20"/>
                <w:szCs w:val="20"/>
              </w:rPr>
              <w:t xml:space="preserve">F</w:t>
            </w:r>
          </w:p>
        </w:tc>
        <w:tc>
          <w:tcPr>
            <w:tcW w:type="dxa" w:w="5429"/>
            <w:shd w:fill="F5F8FC" w:val="clear"/>
            <w:tcMar>
              <w:top w:type="dxa" w:w="80"/>
              <w:left w:type="dxa" w:w="120"/>
              <w:bottom w:type="dxa" w:w="80"/>
              <w:right w:type="dxa" w:w="120"/>
            </w:tcMar>
            <w:vAlign w:val="center"/>
          </w:tcPr>
          <w:p>
            <w:r>
              <w:rPr>
                <w:sz w:val="20"/>
                <w:szCs w:val="20"/>
              </w:rPr>
              <w:t xml:space="preserve">Directly determines simulated motion; the project's core 1:1-fidelity claim rests on this being correct.</w:t>
            </w:r>
          </w:p>
        </w:tc>
      </w:tr>
      <w:t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aero.rs (formula + surrogate query)</w:t>
            </w:r>
          </w:p>
        </w:tc>
        <w:tc>
          <w:tcPr>
            <w:tcW w:type="dxa" w:w="1123"/>
            <w:shd w:fill="FFFFFF" w:val="clear"/>
            <w:tcMar>
              <w:top w:type="dxa" w:w="80"/>
              <w:left w:type="dxa" w:w="120"/>
              <w:bottom w:type="dxa" w:w="80"/>
              <w:right w:type="dxa" w:w="120"/>
            </w:tcMar>
            <w:vAlign w:val="center"/>
          </w:tcPr>
          <w:p>
            <w:r>
              <w:rPr>
                <w:b w:val="false"/>
                <w:bCs w:val="false"/>
                <w:color w:val="000000"/>
                <w:sz w:val="20"/>
                <w:szCs w:val="20"/>
              </w:rPr>
              <w:t xml:space="preserve">F</w:t>
            </w:r>
          </w:p>
        </w:tc>
        <w:tc>
          <w:tcPr>
            <w:tcW w:type="dxa" w:w="5429"/>
            <w:shd w:fill="FFFFFF" w:val="clear"/>
            <w:tcMar>
              <w:top w:type="dxa" w:w="80"/>
              <w:left w:type="dxa" w:w="120"/>
              <w:bottom w:type="dxa" w:w="80"/>
              <w:right w:type="dxa" w:w="120"/>
            </w:tcMar>
            <w:vAlign w:val="center"/>
          </w:tcPr>
          <w:p>
            <w:r>
              <w:rPr>
                <w:b w:val="false"/>
                <w:bCs w:val="false"/>
                <w:color w:val="000000"/>
                <w:sz w:val="20"/>
                <w:szCs w:val="20"/>
              </w:rPr>
              <w:t xml:space="preserve">Directly determines simulated aerodynamic force — same reasoning as the integrator.</w:t>
            </w:r>
          </w:p>
        </w:tc>
      </w:tr>
      <w:tr>
        <w:tc>
          <w:tcPr>
            <w:tcW w:type="dxa" w:w="2808"/>
            <w:shd w:fill="F5F8FC" w:val="clear"/>
            <w:tcMar>
              <w:top w:type="dxa" w:w="80"/>
              <w:left w:type="dxa" w:w="120"/>
              <w:bottom w:type="dxa" w:w="80"/>
              <w:right w:type="dxa" w:w="120"/>
            </w:tcMar>
            <w:vAlign w:val="center"/>
          </w:tcPr>
          <w:p>
            <w:r>
              <w:rPr>
                <w:sz w:val="20"/>
                <w:szCs w:val="20"/>
              </w:rPr>
              <w:t xml:space="preserve">mixer.rs</w:t>
            </w:r>
          </w:p>
        </w:tc>
        <w:tc>
          <w:tcPr>
            <w:tcW w:type="dxa" w:w="1123"/>
            <w:shd w:fill="F5F8FC" w:val="clear"/>
            <w:tcMar>
              <w:top w:type="dxa" w:w="80"/>
              <w:left w:type="dxa" w:w="120"/>
              <w:bottom w:type="dxa" w:w="80"/>
              <w:right w:type="dxa" w:w="120"/>
            </w:tcMar>
            <w:vAlign w:val="center"/>
          </w:tcPr>
          <w:p>
            <w:r>
              <w:rPr>
                <w:sz w:val="20"/>
                <w:szCs w:val="20"/>
              </w:rPr>
              <w:t xml:space="preserve">F</w:t>
            </w:r>
          </w:p>
        </w:tc>
        <w:tc>
          <w:tcPr>
            <w:tcW w:type="dxa" w:w="5429"/>
            <w:shd w:fill="F5F8FC" w:val="clear"/>
            <w:tcMar>
              <w:top w:type="dxa" w:w="80"/>
              <w:left w:type="dxa" w:w="120"/>
              <w:bottom w:type="dxa" w:w="80"/>
              <w:right w:type="dxa" w:w="120"/>
            </w:tcMar>
            <w:vAlign w:val="center"/>
          </w:tcPr>
          <w:p>
            <w:r>
              <w:rPr>
                <w:sz w:val="20"/>
                <w:szCs w:val="20"/>
              </w:rPr>
              <w:t xml:space="preserve">Directly determines net force/torque fed to the integrator; a sign or summation error here is exactly the kind of thing that silently changes flight behavior.</w:t>
            </w:r>
          </w:p>
        </w:tc>
      </w:tr>
      <w:t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structural.rs / thermal.rs</w:t>
            </w:r>
          </w:p>
        </w:tc>
        <w:tc>
          <w:tcPr>
            <w:tcW w:type="dxa" w:w="1123"/>
            <w:shd w:fill="FFFFFF" w:val="clear"/>
            <w:tcMar>
              <w:top w:type="dxa" w:w="80"/>
              <w:left w:type="dxa" w:w="120"/>
              <w:bottom w:type="dxa" w:w="80"/>
              <w:right w:type="dxa" w:w="120"/>
            </w:tcMar>
            <w:vAlign w:val="center"/>
          </w:tcPr>
          <w:p>
            <w:r>
              <w:rPr>
                <w:b w:val="false"/>
                <w:bCs w:val="false"/>
                <w:color w:val="000000"/>
                <w:sz w:val="20"/>
                <w:szCs w:val="20"/>
              </w:rPr>
              <w:t xml:space="preserve">F</w:t>
            </w:r>
          </w:p>
        </w:tc>
        <w:tc>
          <w:tcPr>
            <w:tcW w:type="dxa" w:w="5429"/>
            <w:shd w:fill="FFFFFF" w:val="clear"/>
            <w:tcMar>
              <w:top w:type="dxa" w:w="80"/>
              <w:left w:type="dxa" w:w="120"/>
              <w:bottom w:type="dxa" w:w="80"/>
              <w:right w:type="dxa" w:w="120"/>
            </w:tcMar>
            <w:vAlign w:val="center"/>
          </w:tcPr>
          <w:p>
            <w:r>
              <w:rPr>
                <w:b w:val="false"/>
                <w:bCs w:val="false"/>
                <w:color w:val="000000"/>
                <w:sz w:val="20"/>
                <w:szCs w:val="20"/>
              </w:rPr>
              <w:t xml:space="preserve">Their output (safety margin, temperature) is intended to reflect real physical limits, not just a display number.</w:t>
            </w:r>
          </w:p>
        </w:tc>
      </w:tr>
      <w:tr>
        <w:tc>
          <w:tcPr>
            <w:tcW w:type="dxa" w:w="2808"/>
            <w:shd w:fill="F5F8FC" w:val="clear"/>
            <w:tcMar>
              <w:top w:type="dxa" w:w="80"/>
              <w:left w:type="dxa" w:w="120"/>
              <w:bottom w:type="dxa" w:w="80"/>
              <w:right w:type="dxa" w:w="120"/>
            </w:tcMar>
            <w:vAlign w:val="center"/>
          </w:tcPr>
          <w:p>
            <w:r>
              <w:rPr>
                <w:sz w:val="20"/>
                <w:szCs w:val="20"/>
              </w:rPr>
              <w:t xml:space="preserve">surrogate/mod.rs (loader, provenance check)</w:t>
            </w:r>
          </w:p>
        </w:tc>
        <w:tc>
          <w:tcPr>
            <w:tcW w:type="dxa" w:w="1123"/>
            <w:shd w:fill="F5F8FC" w:val="clear"/>
            <w:tcMar>
              <w:top w:type="dxa" w:w="80"/>
              <w:left w:type="dxa" w:w="120"/>
              <w:bottom w:type="dxa" w:w="80"/>
              <w:right w:type="dxa" w:w="120"/>
            </w:tcMar>
            <w:vAlign w:val="center"/>
          </w:tcPr>
          <w:p>
            <w:r>
              <w:rPr>
                <w:sz w:val="20"/>
                <w:szCs w:val="20"/>
              </w:rPr>
              <w:t xml:space="preserve">F</w:t>
            </w:r>
          </w:p>
        </w:tc>
        <w:tc>
          <w:tcPr>
            <w:tcW w:type="dxa" w:w="5429"/>
            <w:shd w:fill="F5F8FC" w:val="clear"/>
            <w:tcMar>
              <w:top w:type="dxa" w:w="80"/>
              <w:left w:type="dxa" w:w="120"/>
              <w:bottom w:type="dxa" w:w="80"/>
              <w:right w:type="dxa" w:w="120"/>
            </w:tcMar>
            <w:vAlign w:val="center"/>
          </w:tcPr>
          <w:p>
            <w:r>
              <w:rPr>
                <w:sz w:val="20"/>
                <w:szCs w:val="20"/>
              </w:rPr>
              <w:t xml:space="preserve">A defect here can let an invalid or mismatched model silently feed Tier F modules — the gate itself must be held to the same standard as what it's gating.</w:t>
            </w:r>
          </w:p>
        </w:tc>
      </w:tr>
      <w:t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lib.rs (FFI boundary)</w:t>
            </w:r>
          </w:p>
        </w:tc>
        <w:tc>
          <w:tcPr>
            <w:tcW w:type="dxa" w:w="1123"/>
            <w:shd w:fill="FFFFFF" w:val="clear"/>
            <w:tcMar>
              <w:top w:type="dxa" w:w="80"/>
              <w:left w:type="dxa" w:w="120"/>
              <w:bottom w:type="dxa" w:w="80"/>
              <w:right w:type="dxa" w:w="120"/>
            </w:tcMar>
            <w:vAlign w:val="center"/>
          </w:tcPr>
          <w:p>
            <w:r>
              <w:rPr>
                <w:b w:val="false"/>
                <w:bCs w:val="false"/>
                <w:color w:val="000000"/>
                <w:sz w:val="20"/>
                <w:szCs w:val="20"/>
              </w:rPr>
              <w:t xml:space="preserve">F</w:t>
            </w:r>
          </w:p>
        </w:tc>
        <w:tc>
          <w:tcPr>
            <w:tcW w:type="dxa" w:w="5429"/>
            <w:shd w:fill="FFFFFF" w:val="clear"/>
            <w:tcMar>
              <w:top w:type="dxa" w:w="80"/>
              <w:left w:type="dxa" w:w="120"/>
              <w:bottom w:type="dxa" w:w="80"/>
              <w:right w:type="dxa" w:w="120"/>
            </w:tcMar>
            <w:vAlign w:val="center"/>
          </w:tcPr>
          <w:p>
            <w:r>
              <w:rPr>
                <w:b w:val="false"/>
                <w:bCs w:val="false"/>
                <w:color w:val="000000"/>
                <w:sz w:val="20"/>
                <w:szCs w:val="20"/>
              </w:rPr>
              <w:t xml:space="preserve">Already effectively held to this standard since Phase 1 (repr(C), null-checks, no panics) — this tier assignment formalizes what was already de facto true.</w:t>
            </w:r>
          </w:p>
        </w:tc>
      </w:tr>
      <w:tr>
        <w:tc>
          <w:tcPr>
            <w:tcW w:type="dxa" w:w="2808"/>
            <w:shd w:fill="F5F8FC" w:val="clear"/>
            <w:tcMar>
              <w:top w:type="dxa" w:w="80"/>
              <w:left w:type="dxa" w:w="120"/>
              <w:bottom w:type="dxa" w:w="80"/>
              <w:right w:type="dxa" w:w="120"/>
            </w:tcMar>
            <w:vAlign w:val="center"/>
          </w:tcPr>
          <w:p>
            <w:r>
              <w:rPr>
                <w:sz w:val="20"/>
                <w:szCs w:val="20"/>
              </w:rPr>
              <w:t xml:space="preserve">offline_pipeline/cfd/, offline_pipeline/fea/ (case sweeps, training scripts)</w:t>
            </w:r>
          </w:p>
        </w:tc>
        <w:tc>
          <w:tcPr>
            <w:tcW w:type="dxa" w:w="1123"/>
            <w:shd w:fill="F5F8FC" w:val="clear"/>
            <w:tcMar>
              <w:top w:type="dxa" w:w="80"/>
              <w:left w:type="dxa" w:w="120"/>
              <w:bottom w:type="dxa" w:w="80"/>
              <w:right w:type="dxa" w:w="120"/>
            </w:tcMar>
            <w:vAlign w:val="center"/>
          </w:tcPr>
          <w:p>
            <w:r>
              <w:rPr>
                <w:sz w:val="20"/>
                <w:szCs w:val="20"/>
              </w:rPr>
              <w:t xml:space="preserve">D</w:t>
            </w:r>
          </w:p>
        </w:tc>
        <w:tc>
          <w:tcPr>
            <w:tcW w:type="dxa" w:w="5429"/>
            <w:shd w:fill="F5F8FC" w:val="clear"/>
            <w:tcMar>
              <w:top w:type="dxa" w:w="80"/>
              <w:left w:type="dxa" w:w="120"/>
              <w:bottom w:type="dxa" w:w="80"/>
              <w:right w:type="dxa" w:w="120"/>
            </w:tcMar>
            <w:vAlign w:val="center"/>
          </w:tcPr>
          <w:p>
            <w:r>
              <w:rPr>
                <w:sz w:val="20"/>
                <w:szCs w:val="20"/>
              </w:rPr>
              <w:t xml:space="preserve">Produces trained models, but every model passes through the Part II provenance gate and a human-reviewed PR before it can affect Tier F behavior.</w:t>
            </w:r>
          </w:p>
        </w:tc>
      </w:tr>
      <w:t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Phase 3 search/optimization (BEMT, GA/Bayesian search, Pareto front)</w:t>
            </w:r>
          </w:p>
        </w:tc>
        <w:tc>
          <w:tcPr>
            <w:tcW w:type="dxa" w:w="1123"/>
            <w:shd w:fill="FFFFFF" w:val="clear"/>
            <w:tcMar>
              <w:top w:type="dxa" w:w="80"/>
              <w:left w:type="dxa" w:w="120"/>
              <w:bottom w:type="dxa" w:w="80"/>
              <w:right w:type="dxa" w:w="120"/>
            </w:tcMar>
            <w:vAlign w:val="center"/>
          </w:tcPr>
          <w:p>
            <w:r>
              <w:rPr>
                <w:b w:val="false"/>
                <w:bCs w:val="false"/>
                <w:color w:val="000000"/>
                <w:sz w:val="20"/>
                <w:szCs w:val="20"/>
              </w:rPr>
              <w:t xml:space="preserve">D</w:t>
            </w:r>
          </w:p>
        </w:tc>
        <w:tc>
          <w:tcPr>
            <w:tcW w:type="dxa" w:w="5429"/>
            <w:shd w:fill="FFFFFF" w:val="clear"/>
            <w:tcMar>
              <w:top w:type="dxa" w:w="80"/>
              <w:left w:type="dxa" w:w="120"/>
              <w:bottom w:type="dxa" w:w="80"/>
              <w:right w:type="dxa" w:w="120"/>
            </w:tcMar>
            <w:vAlign w:val="center"/>
          </w:tcPr>
          <w:p>
            <w:r>
              <w:rPr>
                <w:b w:val="false"/>
                <w:bCs w:val="false"/>
                <w:color w:val="000000"/>
                <w:sz w:val="20"/>
                <w:szCs w:val="20"/>
              </w:rPr>
              <w:t xml:space="preserve">Proposes candidate designs; every candidate still goes through the Phase 3 doc's own “final validation pass” with real CFD/FEA before being treated as real.</w:t>
            </w:r>
          </w:p>
        </w:tc>
      </w:tr>
      <w:tr>
        <w:tc>
          <w:tcPr>
            <w:tcW w:type="dxa" w:w="2808"/>
            <w:shd w:fill="F5F8FC" w:val="clear"/>
            <w:tcMar>
              <w:top w:type="dxa" w:w="80"/>
              <w:left w:type="dxa" w:w="120"/>
              <w:bottom w:type="dxa" w:w="80"/>
              <w:right w:type="dxa" w:w="120"/>
            </w:tcMar>
            <w:vAlign w:val="center"/>
          </w:tcPr>
          <w:p>
            <w:r>
              <w:rPr>
                <w:sz w:val="20"/>
                <w:szCs w:val="20"/>
              </w:rPr>
              <w:t xml:space="preserve">UE5 rendering, DroneTelemetryComponent (OSD)</w:t>
            </w:r>
          </w:p>
        </w:tc>
        <w:tc>
          <w:tcPr>
            <w:tcW w:type="dxa" w:w="1123"/>
            <w:shd w:fill="F5F8FC" w:val="clear"/>
            <w:tcMar>
              <w:top w:type="dxa" w:w="80"/>
              <w:left w:type="dxa" w:w="120"/>
              <w:bottom w:type="dxa" w:w="80"/>
              <w:right w:type="dxa" w:w="120"/>
            </w:tcMar>
            <w:vAlign w:val="center"/>
          </w:tcPr>
          <w:p>
            <w:r>
              <w:rPr>
                <w:sz w:val="20"/>
                <w:szCs w:val="20"/>
              </w:rPr>
              <w:t xml:space="preserve">V</w:t>
            </w:r>
          </w:p>
        </w:tc>
        <w:tc>
          <w:tcPr>
            <w:tcW w:type="dxa" w:w="5429"/>
            <w:shd w:fill="F5F8FC" w:val="clear"/>
            <w:tcMar>
              <w:top w:type="dxa" w:w="80"/>
              <w:left w:type="dxa" w:w="120"/>
              <w:bottom w:type="dxa" w:w="80"/>
              <w:right w:type="dxa" w:w="120"/>
            </w:tcMar>
            <w:vAlign w:val="center"/>
          </w:tcPr>
          <w:p>
            <w:r>
              <w:rPr>
                <w:sz w:val="20"/>
                <w:szCs w:val="20"/>
              </w:rPr>
              <w:t xml:space="preserve">Displays state, never computes or influences it.</w:t>
            </w:r>
          </w:p>
        </w:tc>
      </w:tr>
      <w:t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Any future STM32H7 firmware / HIL-ported code</w:t>
            </w:r>
          </w:p>
        </w:tc>
        <w:tc>
          <w:tcPr>
            <w:tcW w:type="dxa" w:w="1123"/>
            <w:shd w:fill="FFFFFF" w:val="clear"/>
            <w:tcMar>
              <w:top w:type="dxa" w:w="80"/>
              <w:left w:type="dxa" w:w="120"/>
              <w:bottom w:type="dxa" w:w="80"/>
              <w:right w:type="dxa" w:w="120"/>
            </w:tcMar>
            <w:vAlign w:val="center"/>
          </w:tcPr>
          <w:p>
            <w:r>
              <w:rPr>
                <w:b w:val="false"/>
                <w:bCs w:val="false"/>
                <w:color w:val="000000"/>
                <w:sz w:val="20"/>
                <w:szCs w:val="20"/>
              </w:rPr>
              <w:t xml:space="preserve">H (not yet active)</w:t>
            </w:r>
          </w:p>
        </w:tc>
        <w:tc>
          <w:tcPr>
            <w:tcW w:type="dxa" w:w="5429"/>
            <w:shd w:fill="FFFFFF" w:val="clear"/>
            <w:tcMar>
              <w:top w:type="dxa" w:w="80"/>
              <w:left w:type="dxa" w:w="120"/>
              <w:bottom w:type="dxa" w:w="80"/>
              <w:right w:type="dxa" w:w="120"/>
            </w:tcMar>
            <w:vAlign w:val="center"/>
          </w:tcPr>
          <w:p>
            <w:r>
              <w:rPr>
                <w:b w:val="false"/>
                <w:bCs w:val="false"/>
                <w:color w:val="000000"/>
                <w:sz w:val="20"/>
                <w:szCs w:val="20"/>
              </w:rPr>
              <w:t xml:space="preserve">See Section 3.6 — do not treat this table as pre-authorizing that work at Tier F rigor and calling it done.</w:t>
            </w:r>
          </w:p>
        </w:tc>
      </w:tr>
    </w:tbl>
    <w:p>
      <w:pPr>
        <w:pBdr>
          <w:left w:val="single" w:color="2E5395" w:sz="18" w:space="8"/>
        </w:pBdr>
        <w:shd w:fill="EAF0F8" w:val="clear"/>
        <w:spacing w:after="200" w:before="100"/>
        <w:ind w:left="100"/>
      </w:pPr>
      <w:r>
        <w:rPr>
          <w:i/>
          <w:iCs/>
          <w:color w:val="1F1F1F"/>
          <w:sz w:val="21"/>
          <w:szCs w:val="21"/>
        </w:rPr>
        <w:t xml:space="preserve">This table is a starting point, not a permanent artifact — add a row to it any time a genuinely new module is created, as part of that module's own build guide, the same way each Phase 1/2 guide already documents what a module owns.</w:t>
      </w:r>
    </w:p>
    <w:p>
      <w:pPr>
        <w:pStyle w:val="Heading2"/>
        <w:spacing w:after="150" w:before="300"/>
      </w:pPr>
      <w:r>
        <w:rPr>
          <w:b/>
          <w:bCs/>
          <w:color w:val="2E5395"/>
          <w:sz w:val="26"/>
          <w:szCs w:val="26"/>
        </w:rPr>
        <w:t xml:space="preserve">3.4 Hazard Analysis Process (Lightweight FHA, MIL-STD-882E Risk Matrix)</w:t>
      </w:r>
    </w:p>
    <w:p>
      <w:pPr>
        <w:spacing w:after="160" w:line="300"/>
      </w:pPr>
      <w:r>
        <w:rPr>
          <w:sz w:val="22"/>
          <w:szCs w:val="22"/>
        </w:rPr>
        <w:t xml:space="preserve">Before assigning or changing a module's tier, especially anything being considered for Tier H, run a short, honest hazard analysis using the same severity × probability structure MIL-STD-882E and ARP4754A both use. This doesn't need to be a heavyweight process for a Tier D or V module — a few sentences is enough. For anything being proposed for Tier H, it needs to be a real, documented exercise involving someone with actual safety-engineering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25"/>
        <w:gridCol w:w="1825"/>
        <w:gridCol w:w="1825"/>
        <w:gridCol w:w="1825"/>
      </w:tblGrid>
      <w:tr>
        <w:trPr>
          <w:tblHeader/>
        </w:trPr>
        <w:tc>
          <w:tcPr>
            <w:tcW w:type="dxa" w:w="2059"/>
            <w:shd w:fill="2E5395" w:val="clear"/>
            <w:tcMar>
              <w:top w:type="dxa" w:w="80"/>
              <w:left w:type="dxa" w:w="120"/>
              <w:bottom w:type="dxa" w:w="80"/>
              <w:right w:type="dxa" w:w="120"/>
            </w:tcMar>
            <w:vAlign w:val="center"/>
          </w:tcPr>
          <w:p>
            <w:r>
              <w:rPr>
                <w:b/>
                <w:bCs/>
                <w:color w:val="FFFFFF"/>
                <w:sz w:val="20"/>
                <w:szCs w:val="20"/>
              </w:rPr>
              <w:t xml:space="preserve">Severity → / Probability ↓</w:t>
            </w:r>
          </w:p>
        </w:tc>
        <w:tc>
          <w:tcPr>
            <w:tcW w:type="dxa" w:w="1825"/>
            <w:shd w:fill="2E5395" w:val="clear"/>
            <w:tcMar>
              <w:top w:type="dxa" w:w="80"/>
              <w:left w:type="dxa" w:w="120"/>
              <w:bottom w:type="dxa" w:w="80"/>
              <w:right w:type="dxa" w:w="120"/>
            </w:tcMar>
            <w:vAlign w:val="center"/>
          </w:tcPr>
          <w:p>
            <w:r>
              <w:rPr>
                <w:b/>
                <w:bCs/>
                <w:color w:val="FFFFFF"/>
                <w:sz w:val="20"/>
                <w:szCs w:val="20"/>
              </w:rPr>
              <w:t xml:space="preserve">Catastrophic</w:t>
            </w:r>
          </w:p>
        </w:tc>
        <w:tc>
          <w:tcPr>
            <w:tcW w:type="dxa" w:w="1825"/>
            <w:shd w:fill="2E5395" w:val="clear"/>
            <w:tcMar>
              <w:top w:type="dxa" w:w="80"/>
              <w:left w:type="dxa" w:w="120"/>
              <w:bottom w:type="dxa" w:w="80"/>
              <w:right w:type="dxa" w:w="120"/>
            </w:tcMar>
            <w:vAlign w:val="center"/>
          </w:tcPr>
          <w:p>
            <w:r>
              <w:rPr>
                <w:b/>
                <w:bCs/>
                <w:color w:val="FFFFFF"/>
                <w:sz w:val="20"/>
                <w:szCs w:val="20"/>
              </w:rPr>
              <w:t xml:space="preserve">Critical</w:t>
            </w:r>
          </w:p>
        </w:tc>
        <w:tc>
          <w:tcPr>
            <w:tcW w:type="dxa" w:w="1825"/>
            <w:shd w:fill="2E5395" w:val="clear"/>
            <w:tcMar>
              <w:top w:type="dxa" w:w="80"/>
              <w:left w:type="dxa" w:w="120"/>
              <w:bottom w:type="dxa" w:w="80"/>
              <w:right w:type="dxa" w:w="120"/>
            </w:tcMar>
            <w:vAlign w:val="center"/>
          </w:tcPr>
          <w:p>
            <w:r>
              <w:rPr>
                <w:b/>
                <w:bCs/>
                <w:color w:val="FFFFFF"/>
                <w:sz w:val="20"/>
                <w:szCs w:val="20"/>
              </w:rPr>
              <w:t xml:space="preserve">Marginal</w:t>
            </w:r>
          </w:p>
        </w:tc>
        <w:tc>
          <w:tcPr>
            <w:tcW w:type="dxa" w:w="1825"/>
            <w:shd w:fill="2E5395" w:val="clear"/>
            <w:tcMar>
              <w:top w:type="dxa" w:w="80"/>
              <w:left w:type="dxa" w:w="120"/>
              <w:bottom w:type="dxa" w:w="80"/>
              <w:right w:type="dxa" w:w="120"/>
            </w:tcMar>
            <w:vAlign w:val="center"/>
          </w:tcPr>
          <w:p>
            <w:r>
              <w:rPr>
                <w:b/>
                <w:bCs/>
                <w:color w:val="FFFFFF"/>
                <w:sz w:val="20"/>
                <w:szCs w:val="20"/>
              </w:rPr>
              <w:t xml:space="preserve">Negligible</w:t>
            </w:r>
          </w:p>
        </w:tc>
      </w:tr>
      <w:tr>
        <w:tc>
          <w:tcPr>
            <w:tcW w:type="dxa" w:w="2059"/>
            <w:shd w:fill="FFFFFF" w:val="clear"/>
            <w:tcMar>
              <w:top w:type="dxa" w:w="80"/>
              <w:left w:type="dxa" w:w="120"/>
              <w:bottom w:type="dxa" w:w="80"/>
              <w:right w:type="dxa" w:w="120"/>
            </w:tcMar>
            <w:vAlign w:val="center"/>
          </w:tcPr>
          <w:p>
            <w:r>
              <w:rPr>
                <w:b w:val="false"/>
                <w:bCs w:val="false"/>
                <w:color w:val="000000"/>
                <w:sz w:val="20"/>
                <w:szCs w:val="20"/>
              </w:rPr>
              <w:t xml:space="preserve">Frequent</w:t>
            </w:r>
          </w:p>
        </w:tc>
        <w:tc>
          <w:tcPr>
            <w:tcW w:type="dxa" w:w="1825"/>
            <w:shd w:fill="FFFFFF" w:val="clear"/>
            <w:tcMar>
              <w:top w:type="dxa" w:w="80"/>
              <w:left w:type="dxa" w:w="120"/>
              <w:bottom w:type="dxa" w:w="80"/>
              <w:right w:type="dxa" w:w="120"/>
            </w:tcMar>
            <w:vAlign w:val="center"/>
          </w:tcPr>
          <w:p>
            <w:r>
              <w:rPr>
                <w:b w:val="false"/>
                <w:bCs w:val="false"/>
                <w:color w:val="000000"/>
                <w:sz w:val="20"/>
                <w:szCs w:val="20"/>
              </w:rPr>
              <w:t xml:space="preserve">Unacceptable</w:t>
            </w:r>
          </w:p>
        </w:tc>
        <w:tc>
          <w:tcPr>
            <w:tcW w:type="dxa" w:w="1825"/>
            <w:shd w:fill="FFFFFF" w:val="clear"/>
            <w:tcMar>
              <w:top w:type="dxa" w:w="80"/>
              <w:left w:type="dxa" w:w="120"/>
              <w:bottom w:type="dxa" w:w="80"/>
              <w:right w:type="dxa" w:w="120"/>
            </w:tcMar>
            <w:vAlign w:val="center"/>
          </w:tcPr>
          <w:p>
            <w:r>
              <w:rPr>
                <w:b w:val="false"/>
                <w:bCs w:val="false"/>
                <w:color w:val="000000"/>
                <w:sz w:val="20"/>
                <w:szCs w:val="20"/>
              </w:rPr>
              <w:t xml:space="preserve">Unacceptable</w:t>
            </w:r>
          </w:p>
        </w:tc>
        <w:tc>
          <w:tcPr>
            <w:tcW w:type="dxa" w:w="1825"/>
            <w:shd w:fill="FFFFFF" w:val="clear"/>
            <w:tcMar>
              <w:top w:type="dxa" w:w="80"/>
              <w:left w:type="dxa" w:w="120"/>
              <w:bottom w:type="dxa" w:w="80"/>
              <w:right w:type="dxa" w:w="120"/>
            </w:tcMar>
            <w:vAlign w:val="center"/>
          </w:tcPr>
          <w:p>
            <w:r>
              <w:rPr>
                <w:b w:val="false"/>
                <w:bCs w:val="false"/>
                <w:color w:val="000000"/>
                <w:sz w:val="20"/>
                <w:szCs w:val="20"/>
              </w:rPr>
              <w:t xml:space="preserve">Undesirable</w:t>
            </w:r>
          </w:p>
        </w:tc>
        <w:tc>
          <w:tcPr>
            <w:tcW w:type="dxa" w:w="1825"/>
            <w:shd w:fill="FFFFFF" w:val="clear"/>
            <w:tcMar>
              <w:top w:type="dxa" w:w="80"/>
              <w:left w:type="dxa" w:w="120"/>
              <w:bottom w:type="dxa" w:w="80"/>
              <w:right w:type="dxa" w:w="120"/>
            </w:tcMar>
            <w:vAlign w:val="center"/>
          </w:tcPr>
          <w:p>
            <w:r>
              <w:rPr>
                <w:b w:val="false"/>
                <w:bCs w:val="false"/>
                <w:color w:val="000000"/>
                <w:sz w:val="20"/>
                <w:szCs w:val="20"/>
              </w:rPr>
              <w:t xml:space="preserve">Acceptable w/ review</w:t>
            </w:r>
          </w:p>
        </w:tc>
      </w:tr>
      <w:tr>
        <w:tc>
          <w:tcPr>
            <w:tcW w:type="dxa" w:w="2059"/>
            <w:shd w:fill="F5F8FC" w:val="clear"/>
            <w:tcMar>
              <w:top w:type="dxa" w:w="80"/>
              <w:left w:type="dxa" w:w="120"/>
              <w:bottom w:type="dxa" w:w="80"/>
              <w:right w:type="dxa" w:w="120"/>
            </w:tcMar>
            <w:vAlign w:val="center"/>
          </w:tcPr>
          <w:p>
            <w:r>
              <w:rPr>
                <w:sz w:val="20"/>
                <w:szCs w:val="20"/>
              </w:rPr>
              <w:t xml:space="preserve">Probable</w:t>
            </w:r>
          </w:p>
        </w:tc>
        <w:tc>
          <w:tcPr>
            <w:tcW w:type="dxa" w:w="1825"/>
            <w:shd w:fill="F5F8FC" w:val="clear"/>
            <w:tcMar>
              <w:top w:type="dxa" w:w="80"/>
              <w:left w:type="dxa" w:w="120"/>
              <w:bottom w:type="dxa" w:w="80"/>
              <w:right w:type="dxa" w:w="120"/>
            </w:tcMar>
            <w:vAlign w:val="center"/>
          </w:tcPr>
          <w:p>
            <w:r>
              <w:rPr>
                <w:sz w:val="20"/>
                <w:szCs w:val="20"/>
              </w:rPr>
              <w:t xml:space="preserve">Unacceptable</w:t>
            </w:r>
          </w:p>
        </w:tc>
        <w:tc>
          <w:tcPr>
            <w:tcW w:type="dxa" w:w="1825"/>
            <w:shd w:fill="F5F8FC" w:val="clear"/>
            <w:tcMar>
              <w:top w:type="dxa" w:w="80"/>
              <w:left w:type="dxa" w:w="120"/>
              <w:bottom w:type="dxa" w:w="80"/>
              <w:right w:type="dxa" w:w="120"/>
            </w:tcMar>
            <w:vAlign w:val="center"/>
          </w:tcPr>
          <w:p>
            <w:r>
              <w:rPr>
                <w:sz w:val="20"/>
                <w:szCs w:val="20"/>
              </w:rPr>
              <w:t xml:space="preserve">Undesirable</w:t>
            </w:r>
          </w:p>
        </w:tc>
        <w:tc>
          <w:tcPr>
            <w:tcW w:type="dxa" w:w="1825"/>
            <w:shd w:fill="F5F8FC" w:val="clear"/>
            <w:tcMar>
              <w:top w:type="dxa" w:w="80"/>
              <w:left w:type="dxa" w:w="120"/>
              <w:bottom w:type="dxa" w:w="80"/>
              <w:right w:type="dxa" w:w="120"/>
            </w:tcMar>
            <w:vAlign w:val="center"/>
          </w:tcPr>
          <w:p>
            <w:r>
              <w:rPr>
                <w:sz w:val="20"/>
                <w:szCs w:val="20"/>
              </w:rPr>
              <w:t xml:space="preserve">Undesirable</w:t>
            </w:r>
          </w:p>
        </w:tc>
        <w:tc>
          <w:tcPr>
            <w:tcW w:type="dxa" w:w="1825"/>
            <w:shd w:fill="F5F8FC" w:val="clear"/>
            <w:tcMar>
              <w:top w:type="dxa" w:w="80"/>
              <w:left w:type="dxa" w:w="120"/>
              <w:bottom w:type="dxa" w:w="80"/>
              <w:right w:type="dxa" w:w="120"/>
            </w:tcMar>
            <w:vAlign w:val="center"/>
          </w:tcPr>
          <w:p>
            <w:r>
              <w:rPr>
                <w:sz w:val="20"/>
                <w:szCs w:val="20"/>
              </w:rPr>
              <w:t xml:space="preserve">Acceptable</w:t>
            </w:r>
          </w:p>
        </w:tc>
      </w:tr>
      <w:tr>
        <w:tc>
          <w:tcPr>
            <w:tcW w:type="dxa" w:w="2059"/>
            <w:shd w:fill="FFFFFF" w:val="clear"/>
            <w:tcMar>
              <w:top w:type="dxa" w:w="80"/>
              <w:left w:type="dxa" w:w="120"/>
              <w:bottom w:type="dxa" w:w="80"/>
              <w:right w:type="dxa" w:w="120"/>
            </w:tcMar>
            <w:vAlign w:val="center"/>
          </w:tcPr>
          <w:p>
            <w:r>
              <w:rPr>
                <w:b w:val="false"/>
                <w:bCs w:val="false"/>
                <w:color w:val="000000"/>
                <w:sz w:val="20"/>
                <w:szCs w:val="20"/>
              </w:rPr>
              <w:t xml:space="preserve">Occasional</w:t>
            </w:r>
          </w:p>
        </w:tc>
        <w:tc>
          <w:tcPr>
            <w:tcW w:type="dxa" w:w="1825"/>
            <w:shd w:fill="FFFFFF" w:val="clear"/>
            <w:tcMar>
              <w:top w:type="dxa" w:w="80"/>
              <w:left w:type="dxa" w:w="120"/>
              <w:bottom w:type="dxa" w:w="80"/>
              <w:right w:type="dxa" w:w="120"/>
            </w:tcMar>
            <w:vAlign w:val="center"/>
          </w:tcPr>
          <w:p>
            <w:r>
              <w:rPr>
                <w:b w:val="false"/>
                <w:bCs w:val="false"/>
                <w:color w:val="000000"/>
                <w:sz w:val="20"/>
                <w:szCs w:val="20"/>
              </w:rPr>
              <w:t xml:space="preserve">Undesirable</w:t>
            </w:r>
          </w:p>
        </w:tc>
        <w:tc>
          <w:tcPr>
            <w:tcW w:type="dxa" w:w="1825"/>
            <w:shd w:fill="FFFFFF" w:val="clear"/>
            <w:tcMar>
              <w:top w:type="dxa" w:w="80"/>
              <w:left w:type="dxa" w:w="120"/>
              <w:bottom w:type="dxa" w:w="80"/>
              <w:right w:type="dxa" w:w="120"/>
            </w:tcMar>
            <w:vAlign w:val="center"/>
          </w:tcPr>
          <w:p>
            <w:r>
              <w:rPr>
                <w:b w:val="false"/>
                <w:bCs w:val="false"/>
                <w:color w:val="000000"/>
                <w:sz w:val="20"/>
                <w:szCs w:val="20"/>
              </w:rPr>
              <w:t xml:space="preserve">Undesirable</w:t>
            </w:r>
          </w:p>
        </w:tc>
        <w:tc>
          <w:tcPr>
            <w:tcW w:type="dxa" w:w="1825"/>
            <w:shd w:fill="FFFFFF" w:val="clear"/>
            <w:tcMar>
              <w:top w:type="dxa" w:w="80"/>
              <w:left w:type="dxa" w:w="120"/>
              <w:bottom w:type="dxa" w:w="80"/>
              <w:right w:type="dxa" w:w="120"/>
            </w:tcMar>
            <w:vAlign w:val="center"/>
          </w:tcPr>
          <w:p>
            <w:r>
              <w:rPr>
                <w:b w:val="false"/>
                <w:bCs w:val="false"/>
                <w:color w:val="000000"/>
                <w:sz w:val="20"/>
                <w:szCs w:val="20"/>
              </w:rPr>
              <w:t xml:space="preserve">Acceptable w/ review</w:t>
            </w:r>
          </w:p>
        </w:tc>
        <w:tc>
          <w:tcPr>
            <w:tcW w:type="dxa" w:w="1825"/>
            <w:shd w:fill="FFFFFF" w:val="clear"/>
            <w:tcMar>
              <w:top w:type="dxa" w:w="80"/>
              <w:left w:type="dxa" w:w="120"/>
              <w:bottom w:type="dxa" w:w="80"/>
              <w:right w:type="dxa" w:w="120"/>
            </w:tcMar>
            <w:vAlign w:val="center"/>
          </w:tcPr>
          <w:p>
            <w:r>
              <w:rPr>
                <w:b w:val="false"/>
                <w:bCs w:val="false"/>
                <w:color w:val="000000"/>
                <w:sz w:val="20"/>
                <w:szCs w:val="20"/>
              </w:rPr>
              <w:t xml:space="preserve">Acceptable</w:t>
            </w:r>
          </w:p>
        </w:tc>
      </w:tr>
      <w:tr>
        <w:tc>
          <w:tcPr>
            <w:tcW w:type="dxa" w:w="2059"/>
            <w:shd w:fill="F5F8FC" w:val="clear"/>
            <w:tcMar>
              <w:top w:type="dxa" w:w="80"/>
              <w:left w:type="dxa" w:w="120"/>
              <w:bottom w:type="dxa" w:w="80"/>
              <w:right w:type="dxa" w:w="120"/>
            </w:tcMar>
            <w:vAlign w:val="center"/>
          </w:tcPr>
          <w:p>
            <w:r>
              <w:rPr>
                <w:sz w:val="20"/>
                <w:szCs w:val="20"/>
              </w:rPr>
              <w:t xml:space="preserve">Remote</w:t>
            </w:r>
          </w:p>
        </w:tc>
        <w:tc>
          <w:tcPr>
            <w:tcW w:type="dxa" w:w="1825"/>
            <w:shd w:fill="F5F8FC" w:val="clear"/>
            <w:tcMar>
              <w:top w:type="dxa" w:w="80"/>
              <w:left w:type="dxa" w:w="120"/>
              <w:bottom w:type="dxa" w:w="80"/>
              <w:right w:type="dxa" w:w="120"/>
            </w:tcMar>
            <w:vAlign w:val="center"/>
          </w:tcPr>
          <w:p>
            <w:r>
              <w:rPr>
                <w:sz w:val="20"/>
                <w:szCs w:val="20"/>
              </w:rPr>
              <w:t xml:space="preserve">Undesirable</w:t>
            </w:r>
          </w:p>
        </w:tc>
        <w:tc>
          <w:tcPr>
            <w:tcW w:type="dxa" w:w="1825"/>
            <w:shd w:fill="F5F8FC" w:val="clear"/>
            <w:tcMar>
              <w:top w:type="dxa" w:w="80"/>
              <w:left w:type="dxa" w:w="120"/>
              <w:bottom w:type="dxa" w:w="80"/>
              <w:right w:type="dxa" w:w="120"/>
            </w:tcMar>
            <w:vAlign w:val="center"/>
          </w:tcPr>
          <w:p>
            <w:r>
              <w:rPr>
                <w:sz w:val="20"/>
                <w:szCs w:val="20"/>
              </w:rPr>
              <w:t xml:space="preserve">Acceptable w/ review</w:t>
            </w:r>
          </w:p>
        </w:tc>
        <w:tc>
          <w:tcPr>
            <w:tcW w:type="dxa" w:w="1825"/>
            <w:shd w:fill="F5F8FC" w:val="clear"/>
            <w:tcMar>
              <w:top w:type="dxa" w:w="80"/>
              <w:left w:type="dxa" w:w="120"/>
              <w:bottom w:type="dxa" w:w="80"/>
              <w:right w:type="dxa" w:w="120"/>
            </w:tcMar>
            <w:vAlign w:val="center"/>
          </w:tcPr>
          <w:p>
            <w:r>
              <w:rPr>
                <w:sz w:val="20"/>
                <w:szCs w:val="20"/>
              </w:rPr>
              <w:t xml:space="preserve">Acceptable</w:t>
            </w:r>
          </w:p>
        </w:tc>
        <w:tc>
          <w:tcPr>
            <w:tcW w:type="dxa" w:w="1825"/>
            <w:shd w:fill="F5F8FC" w:val="clear"/>
            <w:tcMar>
              <w:top w:type="dxa" w:w="80"/>
              <w:left w:type="dxa" w:w="120"/>
              <w:bottom w:type="dxa" w:w="80"/>
              <w:right w:type="dxa" w:w="120"/>
            </w:tcMar>
            <w:vAlign w:val="center"/>
          </w:tcPr>
          <w:p>
            <w:r>
              <w:rPr>
                <w:sz w:val="20"/>
                <w:szCs w:val="20"/>
              </w:rPr>
              <w:t xml:space="preserve">Acceptable</w:t>
            </w:r>
          </w:p>
        </w:tc>
      </w:tr>
      <w:tr>
        <w:tc>
          <w:tcPr>
            <w:tcW w:type="dxa" w:w="2059"/>
            <w:shd w:fill="FFFFFF" w:val="clear"/>
            <w:tcMar>
              <w:top w:type="dxa" w:w="80"/>
              <w:left w:type="dxa" w:w="120"/>
              <w:bottom w:type="dxa" w:w="80"/>
              <w:right w:type="dxa" w:w="120"/>
            </w:tcMar>
            <w:vAlign w:val="center"/>
          </w:tcPr>
          <w:p>
            <w:r>
              <w:rPr>
                <w:b w:val="false"/>
                <w:bCs w:val="false"/>
                <w:color w:val="000000"/>
                <w:sz w:val="20"/>
                <w:szCs w:val="20"/>
              </w:rPr>
              <w:t xml:space="preserve">Improbable</w:t>
            </w:r>
          </w:p>
        </w:tc>
        <w:tc>
          <w:tcPr>
            <w:tcW w:type="dxa" w:w="1825"/>
            <w:shd w:fill="FFFFFF" w:val="clear"/>
            <w:tcMar>
              <w:top w:type="dxa" w:w="80"/>
              <w:left w:type="dxa" w:w="120"/>
              <w:bottom w:type="dxa" w:w="80"/>
              <w:right w:type="dxa" w:w="120"/>
            </w:tcMar>
            <w:vAlign w:val="center"/>
          </w:tcPr>
          <w:p>
            <w:r>
              <w:rPr>
                <w:b w:val="false"/>
                <w:bCs w:val="false"/>
                <w:color w:val="000000"/>
                <w:sz w:val="20"/>
                <w:szCs w:val="20"/>
              </w:rPr>
              <w:t xml:space="preserve">Acceptable w/ review</w:t>
            </w:r>
          </w:p>
        </w:tc>
        <w:tc>
          <w:tcPr>
            <w:tcW w:type="dxa" w:w="1825"/>
            <w:shd w:fill="FFFFFF" w:val="clear"/>
            <w:tcMar>
              <w:top w:type="dxa" w:w="80"/>
              <w:left w:type="dxa" w:w="120"/>
              <w:bottom w:type="dxa" w:w="80"/>
              <w:right w:type="dxa" w:w="120"/>
            </w:tcMar>
            <w:vAlign w:val="center"/>
          </w:tcPr>
          <w:p>
            <w:r>
              <w:rPr>
                <w:b w:val="false"/>
                <w:bCs w:val="false"/>
                <w:color w:val="000000"/>
                <w:sz w:val="20"/>
                <w:szCs w:val="20"/>
              </w:rPr>
              <w:t xml:space="preserve">Acceptable</w:t>
            </w:r>
          </w:p>
        </w:tc>
        <w:tc>
          <w:tcPr>
            <w:tcW w:type="dxa" w:w="1825"/>
            <w:shd w:fill="FFFFFF" w:val="clear"/>
            <w:tcMar>
              <w:top w:type="dxa" w:w="80"/>
              <w:left w:type="dxa" w:w="120"/>
              <w:bottom w:type="dxa" w:w="80"/>
              <w:right w:type="dxa" w:w="120"/>
            </w:tcMar>
            <w:vAlign w:val="center"/>
          </w:tcPr>
          <w:p>
            <w:r>
              <w:rPr>
                <w:b w:val="false"/>
                <w:bCs w:val="false"/>
                <w:color w:val="000000"/>
                <w:sz w:val="20"/>
                <w:szCs w:val="20"/>
              </w:rPr>
              <w:t xml:space="preserve">Acceptable</w:t>
            </w:r>
          </w:p>
        </w:tc>
        <w:tc>
          <w:tcPr>
            <w:tcW w:type="dxa" w:w="1825"/>
            <w:shd w:fill="FFFFFF" w:val="clear"/>
            <w:tcMar>
              <w:top w:type="dxa" w:w="80"/>
              <w:left w:type="dxa" w:w="120"/>
              <w:bottom w:type="dxa" w:w="80"/>
              <w:right w:type="dxa" w:w="120"/>
            </w:tcMar>
            <w:vAlign w:val="center"/>
          </w:tcPr>
          <w:p>
            <w:r>
              <w:rPr>
                <w:b w:val="false"/>
                <w:bCs w:val="false"/>
                <w:color w:val="000000"/>
                <w:sz w:val="20"/>
                <w:szCs w:val="20"/>
              </w:rPr>
              <w:t xml:space="preserve">Acceptable</w:t>
            </w:r>
          </w:p>
        </w:tc>
      </w:tr>
    </w:tbl>
    <w:p>
      <w:pPr>
        <w:pStyle w:val="ListParagraph"/>
        <w:numPr>
          <w:ilvl w:val="0"/>
          <w:numId w:val="2"/>
        </w:numPr>
        <w:spacing w:after="100" w:line="290"/>
      </w:pPr>
      <w:r>
        <w:rPr>
          <w:sz w:val="22"/>
          <w:szCs w:val="22"/>
        </w:rPr>
        <w:t xml:space="preserve">For each module, ask: if this specific piece of logic silently produces a wrong answer, what's the worst realistic consequence, and how likely is that error to occur and go unnoticed given the existing tests? That's your severity and probability, read off this matrix, giving you “Unacceptable / Undesirable / Acceptable” as a starting recommendation for how much verification rigor the module needs.</w:t>
      </w:r>
    </w:p>
    <w:p>
      <w:pPr>
        <w:pStyle w:val="ListParagraph"/>
        <w:numPr>
          <w:ilvl w:val="0"/>
          <w:numId w:val="2"/>
        </w:numPr>
        <w:spacing w:after="100" w:line="290"/>
      </w:pPr>
      <w:r>
        <w:rPr>
          <w:sz w:val="22"/>
          <w:szCs w:val="22"/>
        </w:rPr>
        <w:t xml:space="preserve">Anything landing in “Unacceptable” for a module currently sitting at Tier D or V is a signal that module's tier assignment in Section 3.3 needs to be revisited, not that the matrix is wrong.</w:t>
      </w:r>
    </w:p>
    <w:p>
      <w:pPr>
        <w:pStyle w:val="Heading2"/>
        <w:spacing w:after="150" w:before="300"/>
      </w:pPr>
      <w:r>
        <w:rPr>
          <w:b/>
          <w:bCs/>
          <w:color w:val="2E5395"/>
          <w:sz w:val="26"/>
          <w:szCs w:val="26"/>
        </w:rPr>
        <w:t xml:space="preserve">3.5 Traceability — Requirements to Tests</w:t>
      </w:r>
    </w:p>
    <w:p>
      <w:pPr>
        <w:spacing w:after="160" w:line="300"/>
      </w:pPr>
      <w:r>
        <w:rPr>
          <w:sz w:val="22"/>
          <w:szCs w:val="22"/>
        </w:rPr>
        <w:t xml:space="preserve">For every Tier F module, maintain a simple traceability record linking a stated requirement to the specific test that verifies it — this is precisely what ARP4754A calls for at the system level, scaled down to something a small team can actually maintain. Your Phase 1 Testing &amp; Debugging guides already did this informally and well (Group B1: “Linear acceleration matches Newton's second law” directly names the requirement it verifies) — the only change is making it an explicit, checked-in table rather than implicit in the test's own description.</w:t>
      </w:r>
    </w:p>
    <w:p>
      <w:pPr>
        <w:spacing w:after="0" w:before="160"/>
      </w:pPr>
      <w:r>
        <w:rPr>
          <w:rFonts w:ascii="Consolas" w:cs="Consolas" w:eastAsia="Consolas" w:hAnsi="Consolas"/>
          <w:b/>
          <w:bCs/>
          <w:color w:val="444444"/>
          <w:sz w:val="19"/>
          <w:szCs w:val="19"/>
        </w:rPr>
        <w:t xml:space="preserve">Example: physics_core/TRACEABILITY.md (excerpt)</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Requirement                          | Verified By          | Status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Free-fall matches analytical formula  | integrator tests, C1 | PASS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Quaternion stays normalized (1e-6)    | integrator tests, C3 | PASS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Zero-velocity drag is exactly zero    | aero tests, Task 5   | PASS   |</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Pure-hover yields zero net torque     | mixer tests, hover   | PASS   |</w:t>
      </w:r>
    </w:p>
    <w:p>
      <w:pPr>
        <w:spacing w:after="200"/>
      </w:pPr>
    </w:p>
    <w:p>
      <w:pPr>
        <w:pStyle w:val="Heading2"/>
        <w:spacing w:after="150" w:before="300"/>
      </w:pPr>
      <w:r>
        <w:rPr>
          <w:b/>
          <w:bCs/>
          <w:color w:val="2E5395"/>
          <w:sz w:val="26"/>
          <w:szCs w:val="26"/>
        </w:rPr>
        <w:t xml:space="preserve">3.6 Review &amp; Audit Trail Policy, Scaled by Tier</w:t>
      </w:r>
    </w:p>
    <w:p>
      <w:pPr>
        <w:spacing w:after="160" w:line="300"/>
      </w:pPr>
      <w:r>
        <w:rPr>
          <w:sz w:val="22"/>
          <w:szCs w:val="22"/>
        </w:rPr>
        <w:t xml:space="preserve">The current process — “Lead Architect reviews FFI changes” — is a reasonable rule for a four-person team, but it's a single point of review with no record of what was actually checked, and it won't hold up if a customer or regulator ever asks “show me who reviewed this and against what.” The fix scales naturally with the tiers already defined:</w:t>
      </w:r>
    </w:p>
    <w:p>
      <w:pPr>
        <w:pStyle w:val="ListParagraph"/>
        <w:numPr>
          <w:ilvl w:val="0"/>
          <w:numId w:val="2"/>
        </w:numPr>
        <w:spacing w:after="100" w:line="290"/>
      </w:pPr>
      <w:r>
        <w:rPr>
          <w:b/>
          <w:bCs/>
          <w:sz w:val="22"/>
          <w:szCs w:val="22"/>
        </w:rPr>
        <w:t xml:space="preserve">Tier V: </w:t>
      </w:r>
      <w:r>
        <w:rPr>
          <w:sz w:val="22"/>
          <w:szCs w:val="22"/>
        </w:rPr>
        <w:t xml:space="preserve">standard PR review by any teammate. No special record required.</w:t>
      </w:r>
    </w:p>
    <w:p>
      <w:pPr>
        <w:pStyle w:val="ListParagraph"/>
        <w:numPr>
          <w:ilvl w:val="0"/>
          <w:numId w:val="2"/>
        </w:numPr>
        <w:spacing w:after="100" w:line="290"/>
      </w:pPr>
      <w:r>
        <w:rPr>
          <w:b/>
          <w:bCs/>
          <w:sz w:val="22"/>
          <w:szCs w:val="22"/>
        </w:rPr>
        <w:t xml:space="preserve">Tier D: </w:t>
      </w:r>
      <w:r>
        <w:rPr>
          <w:sz w:val="22"/>
          <w:szCs w:val="22"/>
        </w:rPr>
        <w:t xml:space="preserve">PR review plus explicit confirmation the Part II provenance gate is satisfied for any change that produces or updates a trained model.</w:t>
      </w:r>
    </w:p>
    <w:p>
      <w:pPr>
        <w:pStyle w:val="ListParagraph"/>
        <w:numPr>
          <w:ilvl w:val="0"/>
          <w:numId w:val="2"/>
        </w:numPr>
        <w:spacing w:after="100" w:line="290"/>
      </w:pPr>
      <w:r>
        <w:rPr>
          <w:b/>
          <w:bCs/>
          <w:sz w:val="22"/>
          <w:szCs w:val="22"/>
        </w:rPr>
        <w:t xml:space="preserve">Tier F: </w:t>
      </w:r>
      <w:r>
        <w:rPr>
          <w:sz w:val="22"/>
          <w:szCs w:val="22"/>
        </w:rPr>
        <w:t xml:space="preserve">mandatory review from someone other than the author, the full regression suite must be green, and the PR description must state which row(s) of the TRACEABILITY.md table it affects. This is enforceable today, for free, with GitHub's required-reviewer branch protection setting — no new tooling needed beyond what the CI/CD guide already set up.</w:t>
      </w:r>
    </w:p>
    <w:p>
      <w:pPr>
        <w:pStyle w:val="ListParagraph"/>
        <w:numPr>
          <w:ilvl w:val="0"/>
          <w:numId w:val="2"/>
        </w:numPr>
        <w:spacing w:after="100" w:line="290"/>
      </w:pPr>
      <w:r>
        <w:rPr>
          <w:b/>
          <w:bCs/>
          <w:sz w:val="22"/>
          <w:szCs w:val="22"/>
        </w:rPr>
        <w:t xml:space="preserve">Tier H: </w:t>
      </w:r>
      <w:r>
        <w:rPr>
          <w:sz w:val="22"/>
          <w:szCs w:val="22"/>
        </w:rPr>
        <w:t xml:space="preserve">not enterable through this project's normal workflow at all. Moving anything into Tier H requires a standalone decision, documented separately, made in consultation with a qualified safety engineer — not a PR label change. State this explicitly to the team: nobody should assume simulator code is “basically ready” for real flight hardware just because it's well-tested in Tier F. Tier F rigor is what makes that eventual conversation credible; it doesn't substitute for it.</w:t>
      </w:r>
    </w:p>
    <w:p>
      <w:pPr>
        <w:pStyle w:val="Heading1"/>
        <w:pBdr>
          <w:bottom w:val="single" w:color="2E5395" w:sz="6" w:space="4"/>
        </w:pBdr>
        <w:spacing w:after="200" w:before="400"/>
      </w:pPr>
      <w:r>
        <w:rPr>
          <w:b/>
          <w:bCs/>
          <w:color w:val="1F3864"/>
          <w:sz w:val="30"/>
          <w:szCs w:val="30"/>
        </w:rPr>
        <w:t xml:space="preserve">4. Quick Reference — Rollout Checklist</w:t>
      </w:r>
    </w:p>
    <w:p>
      <w:pPr>
        <w:pStyle w:val="ListParagraph"/>
        <w:numPr>
          <w:ilvl w:val="0"/>
          <w:numId w:val="2"/>
        </w:numPr>
        <w:spacing w:after="100" w:line="290"/>
      </w:pPr>
      <w:r>
        <w:rPr>
          <w:sz w:val="22"/>
          <w:szCs w:val="22"/>
        </w:rPr>
        <w:t xml:space="preserve">Part I — DroneState.position widened to f64; NED-on-WGS84-origin frame documented once in types.rs; single named UE5 conversion function added; whole team migrated and full regression suite re-passed</w:t>
      </w:r>
    </w:p>
    <w:p>
      <w:pPr>
        <w:pStyle w:val="ListParagraph"/>
        <w:numPr>
          <w:ilvl w:val="0"/>
          <w:numId w:val="2"/>
        </w:numPr>
        <w:spacing w:after="100" w:line="290"/>
      </w:pPr>
      <w:r>
        <w:rPr>
          <w:sz w:val="22"/>
          <w:szCs w:val="22"/>
        </w:rPr>
        <w:t xml:space="preserve">Part II — ONNX metadata provenance fields required on every exported model; build.rs computes CURRENT_GEOMETRY_HASH; surrogate loader refuses mismatched models with a distinct error code</w:t>
      </w:r>
    </w:p>
    <w:p>
      <w:pPr>
        <w:pStyle w:val="ListParagraph"/>
        <w:numPr>
          <w:ilvl w:val="0"/>
          <w:numId w:val="2"/>
        </w:numPr>
        <w:spacing w:after="100" w:line="290"/>
      </w:pPr>
      <w:r>
        <w:rPr>
          <w:sz w:val="22"/>
          <w:szCs w:val="22"/>
        </w:rPr>
        <w:t xml:space="preserve">Part III — Classification table (3.3) reviewed and agreed by the team; hazard-matrix exercise run for any module in doubt; TRACEABILITY.md created and kept current for Tier F modules; branch protection updated to require independent review specifically on Tier F paths</w:t>
      </w:r>
    </w:p>
    <w:p>
      <w:pPr>
        <w:pStyle w:val="ListParagraph"/>
        <w:numPr>
          <w:ilvl w:val="0"/>
          <w:numId w:val="2"/>
        </w:numPr>
        <w:spacing w:after="100" w:line="290"/>
      </w:pPr>
      <w:r>
        <w:rPr>
          <w:sz w:val="22"/>
          <w:szCs w:val="22"/>
        </w:rPr>
        <w:t xml:space="preserve">Ongoing — every new module gets a tier assignment as part of its own build guide, the same way it already documents ownership and “what done looks like”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2026-08-06T07:50:54.696Z</dcterms:created>
  <dcterms:modified xsi:type="dcterms:W3CDTF">2026-08-06T07:50:54.713Z</dcterms:modified>
</cp:coreProperties>
</file>

<file path=docProps/custom.xml><?xml version="1.0" encoding="utf-8"?>
<Properties xmlns="http://schemas.openxmlformats.org/officeDocument/2006/custom-properties" xmlns:vt="http://schemas.openxmlformats.org/officeDocument/2006/docPropsVTypes"/>
</file>