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32"/>
          <w:szCs w:val="32"/>
        </w:rPr>
        <w:t xml:space="preserve">Project Design Phase</w:t>
      </w:r>
    </w:p>
    <w:p>
      <w:pPr>
        <w:spacing w:after="200"/>
        <w:jc w:val="center"/>
      </w:pPr>
      <w:r>
        <w:rPr>
          <w:b/>
          <w:bCs/>
          <w:sz w:val="26"/>
          <w:szCs w:val="26"/>
        </w:rPr>
        <w:t xml:space="preserve">Problem – Solution Fit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EDEDED" w:val="clear"/>
          </w:tcPr>
          <w:p>
            <w:r>
              <w:rPr>
                <w:b/>
                <w:bCs/>
              </w:rPr>
              <w:t xml:space="preserve">Project Title</w:t>
            </w:r>
          </w:p>
        </w:tc>
        <w:tc>
          <w:tcPr>
            <w:tcW w:type="pct" w:w="70%"/>
          </w:tcPr>
          <w:p>
            <w:r>
              <w:t xml:space="preserve">Script-Controlled ACL – Restrict Record Access Based on Field Value</w:t>
            </w:r>
          </w:p>
        </w:tc>
      </w:tr>
      <w:tr>
        <w:tc>
          <w:tcPr>
            <w:tcW w:type="pct" w:w="30%"/>
            <w:shd w:fill="EDEDED" w:val="clear"/>
          </w:tcPr>
          <w:p>
            <w:r>
              <w:rPr>
                <w:b/>
                <w:bCs/>
              </w:rPr>
              <w:t xml:space="preserve">Team ID</w:t>
            </w:r>
          </w:p>
        </w:tc>
        <w:tc>
          <w:tcPr>
            <w:tcW w:type="pct" w:w="70%"/>
          </w:tcPr>
          <w:p>
            <w:r>
              <w:t xml:space="preserve">SWTID-2026-1695</w:t>
            </w:r>
          </w:p>
        </w:tc>
      </w:tr>
      <w:tr>
        <w:tc>
          <w:tcPr>
            <w:tcW w:type="pct" w:w="30%"/>
            <w:shd w:fill="EDEDED" w:val="clear"/>
          </w:tcPr>
          <w:p>
            <w:r>
              <w:rPr>
                <w:b/>
                <w:bCs/>
              </w:rPr>
              <w:t xml:space="preserve">Project Name</w:t>
            </w:r>
          </w:p>
        </w:tc>
        <w:tc>
          <w:tcPr>
            <w:tcW w:type="pct" w:w="70%"/>
          </w:tcPr>
          <w:p>
            <w:r>
              <w:t xml:space="preserve">Skill Wallet</w:t>
            </w:r>
          </w:p>
        </w:tc>
      </w:tr>
    </w:tbl>
    <w:p>
      <w:pPr>
        <w:spacing w:after="100"/>
      </w:pPr>
    </w:p>
    <w:p>
      <w:pPr>
        <w:pStyle w:val="Heading1"/>
        <w:spacing w:after="100" w:before="200"/>
      </w:pPr>
      <w:r>
        <w:t xml:space="preserve">Problem – Solution Fit Canvas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6%"/>
            <w:shd w:fill="D9E2F3" w:val="clear"/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tcW w:type="pct" w:w="26%"/>
            <w:shd w:fill="D9E2F3" w:val="clear"/>
          </w:tcPr>
          <w:p>
            <w:r>
              <w:rPr>
                <w:b/>
                <w:bCs/>
              </w:rPr>
              <w:t xml:space="preserve">Canvas Element</w:t>
            </w:r>
          </w:p>
        </w:tc>
        <w:tc>
          <w:tcPr>
            <w:tcW w:type="pct" w:w="68%"/>
            <w:shd w:fill="D9E2F3" w:val="clear"/>
          </w:tcPr>
          <w:p>
            <w:r>
              <w:rPr>
                <w:b/>
                <w:bCs/>
              </w:rPr>
              <w:t xml:space="preserve">Details for this Project</w:t>
            </w:r>
          </w:p>
        </w:tc>
      </w:tr>
      <w:tr>
        <w:tc>
          <w:tcPr>
            <w:tcW w:type="pct" w:w="6%"/>
          </w:tcPr>
          <w:p>
            <w:r>
              <w:t xml:space="preserve">1</w:t>
            </w:r>
          </w:p>
        </w:tc>
        <w:tc>
          <w:tcPr>
            <w:tcW w:type="pct" w:w="26%"/>
          </w:tcPr>
          <w:p>
            <w:r>
              <w:t xml:space="preserve">Customer Segment(s) (CS)</w:t>
            </w:r>
          </w:p>
        </w:tc>
        <w:tc>
          <w:tcPr>
            <w:tcW w:type="pct" w:w="68%"/>
          </w:tcPr>
          <w:p>
            <w:r>
              <w:t xml:space="preserve">ServiceNow System Administrators and department users (e.g., HR, IT) who manage or use Skill Wallet Request records.</w:t>
            </w:r>
          </w:p>
        </w:tc>
      </w:tr>
      <w:tr>
        <w:tc>
          <w:tcPr>
            <w:tcW w:type="pct" w:w="6%"/>
          </w:tcPr>
          <w:p>
            <w:r>
              <w:t xml:space="preserve">2</w:t>
            </w:r>
          </w:p>
        </w:tc>
        <w:tc>
          <w:tcPr>
            <w:tcW w:type="pct" w:w="26%"/>
          </w:tcPr>
          <w:p>
            <w:r>
              <w:t xml:space="preserve">Jobs-to-be-Done / Problems (J&amp;P)</w:t>
            </w:r>
          </w:p>
        </w:tc>
        <w:tc>
          <w:tcPr>
            <w:tcW w:type="pct" w:w="68%"/>
          </w:tcPr>
          <w:p>
            <w:r>
              <w:t xml:space="preserve">Restrict who can Read, Create, Write, and Delete Skill Wallet Request records so that each department only accesses its own data.</w:t>
            </w:r>
          </w:p>
        </w:tc>
      </w:tr>
      <w:tr>
        <w:tc>
          <w:tcPr>
            <w:tcW w:type="pct" w:w="6%"/>
          </w:tcPr>
          <w:p>
            <w:r>
              <w:t xml:space="preserve">3</w:t>
            </w:r>
          </w:p>
        </w:tc>
        <w:tc>
          <w:tcPr>
            <w:tcW w:type="pct" w:w="26%"/>
          </w:tcPr>
          <w:p>
            <w:r>
              <w:t xml:space="preserve">Triggers (TR)</w:t>
            </w:r>
          </w:p>
        </w:tc>
        <w:tc>
          <w:tcPr>
            <w:tcW w:type="pct" w:w="68%"/>
          </w:tcPr>
          <w:p>
            <w:r>
              <w:t xml:space="preserve">Compliance/audit review flags that users from one department can view or modify another department's records.</w:t>
            </w:r>
          </w:p>
        </w:tc>
      </w:tr>
      <w:tr>
        <w:tc>
          <w:tcPr>
            <w:tcW w:type="pct" w:w="6%"/>
          </w:tcPr>
          <w:p>
            <w:r>
              <w:t xml:space="preserve">4</w:t>
            </w:r>
          </w:p>
        </w:tc>
        <w:tc>
          <w:tcPr>
            <w:tcW w:type="pct" w:w="26%"/>
          </w:tcPr>
          <w:p>
            <w:r>
              <w:t xml:space="preserve">Emotions: Before / After (EM)</w:t>
            </w:r>
          </w:p>
        </w:tc>
        <w:tc>
          <w:tcPr>
            <w:tcW w:type="pct" w:w="68%"/>
          </w:tcPr>
          <w:p>
            <w:r>
              <w:t xml:space="preserve">Before — concerned, exposed, distrustful of the access setup. After — confident and in control, knowing access is enforced automatically.</w:t>
            </w:r>
          </w:p>
        </w:tc>
      </w:tr>
      <w:tr>
        <w:tc>
          <w:tcPr>
            <w:tcW w:type="pct" w:w="6%"/>
          </w:tcPr>
          <w:p>
            <w:r>
              <w:t xml:space="preserve">5</w:t>
            </w:r>
          </w:p>
        </w:tc>
        <w:tc>
          <w:tcPr>
            <w:tcW w:type="pct" w:w="26%"/>
          </w:tcPr>
          <w:p>
            <w:r>
              <w:t xml:space="preserve">Available Solutions (AS)</w:t>
            </w:r>
          </w:p>
        </w:tc>
        <w:tc>
          <w:tcPr>
            <w:tcW w:type="pct" w:w="68%"/>
          </w:tcPr>
          <w:p>
            <w:r>
              <w:t xml:space="preserve">Plain role-based ACL (too coarse), UI Policies (only hide fields visually), Data Policies (only control mandatory/read-only), manual record review (time-consuming, error-prone).</w:t>
            </w:r>
          </w:p>
        </w:tc>
      </w:tr>
      <w:tr>
        <w:tc>
          <w:tcPr>
            <w:tcW w:type="pct" w:w="6%"/>
          </w:tcPr>
          <w:p>
            <w:r>
              <w:t xml:space="preserve">6</w:t>
            </w:r>
          </w:p>
        </w:tc>
        <w:tc>
          <w:tcPr>
            <w:tcW w:type="pct" w:w="26%"/>
          </w:tcPr>
          <w:p>
            <w:r>
              <w:t xml:space="preserve">Customer Constraints (CC)</w:t>
            </w:r>
          </w:p>
        </w:tc>
        <w:tc>
          <w:tcPr>
            <w:tcW w:type="pct" w:w="68%"/>
          </w:tcPr>
          <w:p>
            <w:r>
              <w:t xml:space="preserve">Must work natively inside the existing ServiceNow instance, with no extra license/tool cost and negligible performance overhead.</w:t>
            </w:r>
          </w:p>
        </w:tc>
      </w:tr>
      <w:tr>
        <w:tc>
          <w:tcPr>
            <w:tcW w:type="pct" w:w="6%"/>
          </w:tcPr>
          <w:p>
            <w:r>
              <w:t xml:space="preserve">7</w:t>
            </w:r>
          </w:p>
        </w:tc>
        <w:tc>
          <w:tcPr>
            <w:tcW w:type="pct" w:w="26%"/>
          </w:tcPr>
          <w:p>
            <w:r>
              <w:t xml:space="preserve">Behaviour (BE)</w:t>
            </w:r>
          </w:p>
        </w:tc>
        <w:tc>
          <w:tcPr>
            <w:tcW w:type="pct" w:w="68%"/>
          </w:tcPr>
          <w:p>
            <w:r>
              <w:t xml:space="preserve">Administrators manually review record and role assignments; users request IT/Admin help when they cannot see a record they believe they should.</w:t>
            </w:r>
          </w:p>
        </w:tc>
      </w:tr>
      <w:tr>
        <w:tc>
          <w:tcPr>
            <w:tcW w:type="pct" w:w="6%"/>
          </w:tcPr>
          <w:p>
            <w:r>
              <w:t xml:space="preserve">8</w:t>
            </w:r>
          </w:p>
        </w:tc>
        <w:tc>
          <w:tcPr>
            <w:tcW w:type="pct" w:w="26%"/>
          </w:tcPr>
          <w:p>
            <w:r>
              <w:t xml:space="preserve">Channels of Behaviour (CH)</w:t>
            </w:r>
          </w:p>
        </w:tc>
        <w:tc>
          <w:tcPr>
            <w:tcW w:type="pct" w:w="68%"/>
          </w:tcPr>
          <w:p>
            <w:r>
              <w:t xml:space="preserve">Online — ServiceNow platform itself (System Security &gt; Access Control, Impersonate User for testing). Offline — compliance/policy review meetings.</w:t>
            </w:r>
          </w:p>
        </w:tc>
      </w:tr>
      <w:tr>
        <w:tc>
          <w:tcPr>
            <w:tcW w:type="pct" w:w="6%"/>
          </w:tcPr>
          <w:p>
            <w:r>
              <w:t xml:space="preserve">9</w:t>
            </w:r>
          </w:p>
        </w:tc>
        <w:tc>
          <w:tcPr>
            <w:tcW w:type="pct" w:w="26%"/>
          </w:tcPr>
          <w:p>
            <w:r>
              <w:t xml:space="preserve">Problem Root Cause (RC)</w:t>
            </w:r>
          </w:p>
        </w:tc>
        <w:tc>
          <w:tcPr>
            <w:tcW w:type="pct" w:w="68%"/>
          </w:tcPr>
          <w:p>
            <w:r>
              <w:t xml:space="preserve">Native ServiceNow role-based ACLs only check whether a user holds a role — they do not evaluate the actual field value stored on the record.</w:t>
            </w:r>
          </w:p>
        </w:tc>
      </w:tr>
      <w:tr>
        <w:tc>
          <w:tcPr>
            <w:tcW w:type="pct" w:w="6%"/>
          </w:tcPr>
          <w:p>
            <w:r>
              <w:t xml:space="preserve">10</w:t>
            </w:r>
          </w:p>
        </w:tc>
        <w:tc>
          <w:tcPr>
            <w:tcW w:type="pct" w:w="26%"/>
          </w:tcPr>
          <w:p>
            <w:r>
              <w:t xml:space="preserve">Your Solution (SL)</w:t>
            </w:r>
          </w:p>
        </w:tc>
        <w:tc>
          <w:tcPr>
            <w:tcW w:type="pct" w:w="68%"/>
          </w:tcPr>
          <w:p>
            <w:r>
              <w:t xml:space="preserve">Script-Controlled ACL on Read, Create, Write, and Delete that checks the record's Department field value against the logged-in user's department, granting full access only to the u_swt_admin role.</w:t>
            </w:r>
          </w:p>
        </w:tc>
      </w:tr>
    </w:tbl>
    <w:p>
      <w:pPr>
        <w:pBdr>
          <w:top w:val="single" w:color="AA0000" w:sz="4"/>
          <w:bottom w:val="single" w:color="AA0000" w:sz="4"/>
          <w:left w:val="single" w:color="AA0000" w:sz="4"/>
          <w:right w:val="single" w:color="AA0000" w:sz="4"/>
        </w:pBdr>
        <w:spacing w:after="120"/>
      </w:pPr>
      <w:r>
        <w:rPr>
          <w:i/>
          <w:iCs/>
          <w:color w:val="AA0000"/>
        </w:rPr>
        <w:t xml:space="preserve">[ SCREENSHOT PLACEHOLDER: Problem–Solution Fit canvas (10-part version, filled with the above points) 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2026-09-27T10:15:17.895Z</dcterms:created>
  <dcterms:modified xsi:type="dcterms:W3CDTF">2026-09-27T10:15:17.895Z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