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Solution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Solution Architecture</w:t>
      </w:r>
    </w:p>
    <w:p>
      <w:pPr>
        <w:spacing w:after="100"/>
      </w:pPr>
      <w:r>
        <w:t xml:space="preserve">The solution architecture bridges the business problem (uncontrolled cross-department access) with the ServiceNow technical solution (Script-Controlled ACLs), organized into four layers: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Presentation Layer – ServiceNow standard list and form views used to access Skill Wallet Request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Layer – Script-Controlled ACL records for Read, Create, Write, and Delete operations on u_skill_wallet_request, each running a GlideScript condition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Logic Layer – The ACL condition script: checks gs.hasRole('u_swt_admin'); if false, looks up the requesting user's department via GlideRecord on sys_user and compares it to current.u_department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Layer – Custom table u_skill_wallet_request storing Employee, Department, Skill Name, Wallet Points, and Status fields, plus the platform's sys_user and sys_user_role tables</w:t>
      </w:r>
    </w:p>
    <w:p>
      <w:pPr>
        <w:pBdr>
          <w:top w:val="single" w:color="AA0000" w:sz="4"/>
          <w:bottom w:val="single" w:color="AA0000" w:sz="4"/>
          <w:left w:val="single" w:color="AA0000" w:sz="4"/>
          <w:right w:val="single" w:color="AA0000" w:sz="4"/>
        </w:pBdr>
        <w:spacing w:after="120"/>
      </w:pPr>
      <w:r>
        <w:rPr>
          <w:i/>
          <w:iCs/>
          <w:color w:val="AA0000"/>
        </w:rPr>
        <w:t xml:space="preserve">[ SCREENSHOT PLACEHOLDER: Solution Architecture Diagram – User/Role → ServiceNow UI → Script-Controlled ACL (Read/Create/Write/Delete) → Skill Wallet Request Table → Access Granted/Denied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2026-09-27T10:15:17.996Z</dcterms:created>
  <dcterms:modified xsi:type="dcterms:W3CDTF">2026-09-27T10:15:17.996Z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