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Functional &amp; Performance Testing Template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GenAI Functional &amp; Performance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Applicability to This Project</w:t>
      </w:r>
    </w:p>
    <w:p>
      <w:pPr>
        <w:spacing w:after="100"/>
      </w:pPr>
      <w:r>
        <w:rPr>
          <w:b/>
          <w:bCs/>
        </w:rPr>
        <w:t xml:space="preserve">Not Applicable.</w:t>
      </w:r>
    </w:p>
    <w:p>
      <w:pPr>
        <w:spacing w:after="100"/>
      </w:pPr>
      <w:r>
        <w:t xml:space="preserve">This project – Script-Controlled ACL on the ServiceNow Skill Wallet Request table – does not use any Generative AI component or external API. There is no content-generation feature, API connection, or GenAI-specific performance requirement (e.g., response time, file upload load) in this project. All functional and performance validation for this project is instead documented in the ServiceNow-specific UAT test cases (see Phase5_User_Acceptance_Testing_FSD.docx).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2026-09-27T10:16:08.080Z</dcterms:created>
  <dcterms:modified xsi:type="dcterms:W3CDTF">2026-09-27T10:16:08.080Z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