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1 - The main geography of this setting is a desert-ish coastal area ringed by steep cliffs/ mountains. Having  a settlement pinched between harsh desert and stormy seas makes for a very isolated group of people.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2 - In this world, knowledge leaps provided by the messengers means that people aren’t in a hurry to explore. They are content to mine and experiment with various farming and technology.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3 - The general social hierarchy is caste-like, with rare inter-caste marriage allowed only with the approval of the messengers. There is mutual respect between the castes, and each take pride in </w:t>
      </w:r>
      <w:r w:rsidDel="00000000" w:rsidR="00000000" w:rsidRPr="00000000">
        <w:rPr>
          <w:sz w:val="24"/>
          <w:szCs w:val="24"/>
          <w:rtl w:val="0"/>
        </w:rPr>
        <w:t xml:space="preserve">fufilling</w:t>
      </w:r>
      <w:r w:rsidDel="00000000" w:rsidR="00000000" w:rsidRPr="00000000">
        <w:rPr>
          <w:sz w:val="24"/>
          <w:szCs w:val="24"/>
          <w:rtl w:val="0"/>
        </w:rPr>
        <w:t xml:space="preserve"> a niche. The castes in order are: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Messengers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Priestess/Priest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Acolytes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Healers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Scientists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Merchants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Crafters/Shepards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Miners/Farmers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4 - Load bearing history: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Arriving at the settlement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Wandered the desert as inland water was drying up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Desert appears to become harsher over the generations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messengers appear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emerged from the desert during the cold months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Discovering oil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