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1A3C6E"/>
          <w:sz w:val="56"/>
          <w:szCs w:val="56"/>
        </w:rPr>
        <w:t xml:space="preserve">HEADY PROJECT</w:t>
      </w:r>
    </w:p>
    <w:p>
      <w:pPr>
        <w:spacing w:after="80"/>
        <w:jc w:val="center"/>
      </w:pPr>
      <w:r>
        <w:rPr>
          <w:rFonts w:ascii="Arial" w:cs="Arial" w:eastAsia="Arial" w:hAnsi="Arial"/>
          <w:color w:val="2E75B6"/>
          <w:sz w:val="34"/>
          <w:szCs w:val="34"/>
        </w:rPr>
        <w:t xml:space="preserve">Exhaustive Master Task List</w:t>
      </w:r>
    </w:p>
    <w:p>
      <w:pPr>
        <w:spacing w:after="80"/>
        <w:jc w:val="center"/>
      </w:pPr>
      <w:r>
        <w:rPr>
          <w:rFonts w:ascii="Arial" w:cs="Arial" w:eastAsia="Arial" w:hAnsi="Arial"/>
          <w:color w:val="2E75B6"/>
          <w:sz w:val="34"/>
          <w:szCs w:val="34"/>
        </w:rPr>
        <w:t xml:space="preserve">and Operational Improvement Roadmap</w:t>
      </w:r>
    </w:p>
    <w:p>
      <w:pPr>
        <w:pBdr>
          <w:top w:val="single" w:color="2E75B6" w:sz="6" w:space="16"/>
        </w:pBdr>
        <w:spacing w:after="120" w:before="500"/>
        <w:jc w:val="center"/>
      </w:pPr>
      <w:r>
        <w:rPr>
          <w:rFonts w:ascii="Arial" w:cs="Arial" w:eastAsia="Arial" w:hAnsi="Arial"/>
          <w:color w:val="666666"/>
          <w:sz w:val="22"/>
          <w:szCs w:val="22"/>
        </w:rPr>
        <w:t xml:space="preserve">Deep Scan Analysis of HeadyMe / HeadySystems Repositories</w:t>
      </w:r>
    </w:p>
    <w:p>
      <w:pPr>
        <w:spacing w:after="80"/>
        <w:jc w:val="center"/>
      </w:pPr>
      <w:r>
        <w:rPr>
          <w:rFonts w:ascii="Arial" w:cs="Arial" w:eastAsia="Arial" w:hAnsi="Arial"/>
          <w:b/>
          <w:bCs/>
          <w:color w:val="C00000"/>
          <w:sz w:val="24"/>
          <w:szCs w:val="24"/>
        </w:rPr>
        <w:t xml:space="preserve">All Tasks: Implement ASAP</w:t>
      </w:r>
    </w:p>
    <w:p>
      <w:pPr>
        <w:spacing w:after="80"/>
        <w:jc w:val="center"/>
      </w:pPr>
      <w:r>
        <w:rPr>
          <w:rFonts w:ascii="Arial" w:cs="Arial" w:eastAsia="Arial" w:hAnsi="Arial"/>
          <w:color w:val="888888"/>
          <w:sz w:val="20"/>
          <w:szCs w:val="20"/>
        </w:rPr>
        <w:t xml:space="preserve">February 27, 2026</w:t>
      </w:r>
    </w:p>
    <w:p>
      <w:pPr>
        <w:spacing w:before="500"/>
        <w:jc w:val="center"/>
      </w:pPr>
      <w:r>
        <w:rPr>
          <w:rFonts w:ascii="Arial" w:cs="Arial" w:eastAsia="Arial" w:hAnsi="Arial"/>
          <w:i/>
          <w:iCs/>
          <w:color w:val="666666"/>
          <w:sz w:val="22"/>
          <w:szCs w:val="22"/>
        </w:rPr>
        <w:t xml:space="preserve">Prepared for: HeadyBuddy (Lead Integration Developer)</w:t>
      </w:r>
    </w:p>
    <w:p>
      <w:pPr>
        <w:spacing w:before="200"/>
        <w:jc w:val="center"/>
      </w:pPr>
      <w:r>
        <w:rPr>
          <w:rFonts w:ascii="Arial" w:cs="Arial" w:eastAsia="Arial" w:hAnsi="Arial"/>
          <w:color w:val="888888"/>
          <w:sz w:val="20"/>
          <w:szCs w:val="20"/>
        </w:rPr>
        <w:t xml:space="preserve">200+ Detailed Tasks Across 14 Functional Domains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3C6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1A3C6E"/>
          <w:sz w:val="30"/>
          <w:szCs w:val="30"/>
        </w:rPr>
        <w:t xml:space="preserve">1. Executive Overview</w:t>
      </w:r>
    </w:p>
    <w:p>
      <w:pPr>
        <w:spacing w:after="100"/>
      </w:pPr>
      <w:r>
        <w:rPr>
          <w:rFonts w:ascii="Arial" w:cs="Arial" w:eastAsia="Arial" w:hAnsi="Arial"/>
          <w:color w:val="333333"/>
          <w:sz w:val="20"/>
          <w:szCs w:val="20"/>
        </w:rPr>
        <w:t xml:space="preserve">This document constitutes the definitive, maximally exhaustive master task list for the Heady ecosystem. It is derived from a forensic deep-scan analysis of the HeadyMe and HeadySystems repositories, cross-referenced with six comprehensive architectural analysis documents spanning the cryptographic HITL bus, MIDI 2.0 UMP transport layer, multi-agent Sacred Geometry orchestration framework, autonomous trading apparatus, and commercial deployment strategy.</w:t>
      </w:r>
    </w:p>
    <w:p>
      <w:pPr>
        <w:spacing w:after="100"/>
      </w:pPr>
      <w:r>
        <w:rPr>
          <w:rFonts w:ascii="Arial" w:cs="Arial" w:eastAsia="Arial" w:hAnsi="Arial"/>
          <w:color w:val="333333"/>
          <w:sz w:val="20"/>
          <w:szCs w:val="20"/>
        </w:rPr>
        <w:t xml:space="preserve">Every single task in this document is assigned an implementation timeline of ASAP. There are no deferred sprints, no future phases, and no optional deferrals. Each task is presented with full technical detail describing what must be done, why it matters, and how it integrates with the broader ecosystem. The document is organized by functional domain, proceeding from the most existentially critical security remediations through infrastructure hardening, core platform features, operational excellence, and finally commercial deployment.</w:t>
      </w:r>
    </w:p>
    <w:p>
      <w:pPr>
        <w:spacing w:after="100"/>
      </w:pPr>
      <w:r>
        <w:rPr>
          <w:rFonts w:ascii="Arial" w:cs="Arial" w:eastAsia="Arial" w:hAnsi="Arial"/>
          <w:color w:val="333333"/>
          <w:sz w:val="20"/>
          <w:szCs w:val="20"/>
        </w:rPr>
        <w:t xml:space="preserve">The total task count exceeds 200 discrete, actionable work items spanning 14 functional domains. Every item is classified by severity: CRITICAL (existential risk, system-breaking), HIGH (blocks production readiness), MEDIUM (significant reliability or performance improvement), or LOW (optimization, enhancement, long-term value).</w:t>
      </w:r>
    </w:p>
    <w:p>
      <w:r>
        <w:br w:type="page"/>
      </w:r>
    </w:p>
    <w:p>
      <w:pPr>
        <w:pStyle w:val="Heading1"/>
        <w:spacing w:after="180" w:before="360"/>
      </w:pPr>
      <w:r>
        <w:rPr>
          <w:rFonts w:ascii="Arial" w:cs="Arial" w:eastAsia="Arial" w:hAnsi="Arial"/>
          <w:b/>
          <w:bCs/>
          <w:color w:val="1A3C6E"/>
          <w:sz w:val="30"/>
          <w:szCs w:val="30"/>
        </w:rPr>
        <w:t xml:space="preserve">2. Critical Security Remediation</w:t>
      </w:r>
    </w:p>
    <w:p>
      <w:pPr>
        <w:spacing w:after="100"/>
      </w:pPr>
      <w:r>
        <w:rPr>
          <w:rFonts w:ascii="Arial" w:cs="Arial" w:eastAsia="Arial" w:hAnsi="Arial"/>
          <w:color w:val="333333"/>
          <w:sz w:val="20"/>
          <w:szCs w:val="20"/>
        </w:rPr>
        <w:t xml:space="preserve">These tasks address existential security vulnerabilities discovered during the repository deep-scan. No development, testing, deployment, or capital allocation work of any kind should proceed until every item in this section is fully and verifiably resolved. The current state of the repository represents an unacceptable risk profile for any system intended to process financial transactions or custody digital assets.</w:t>
      </w:r>
    </w:p>
    <w:p>
      <w:pPr>
        <w:pStyle w:val="Heading2"/>
        <w:spacing w:after="140" w:before="260"/>
      </w:pPr>
      <w:r>
        <w:rPr>
          <w:rFonts w:ascii="Arial" w:cs="Arial" w:eastAsia="Arial" w:hAnsi="Arial"/>
          <w:b/>
          <w:bCs/>
          <w:color w:val="2E75B6"/>
          <w:sz w:val="25"/>
          <w:szCs w:val="25"/>
        </w:rPr>
        <w:t xml:space="preserve">2.1 Credential and Secret Eradication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Purge .env.hybrid from entire Git history using git filter-repo or BFG Repo-Cleaner. This file has been erroneously committed to the public repository and contains the primary database connection string in plaintext, specifically DATABASE_URL=postgresql://heady:heady_secret@..., which grants any unauthorized actor complete and unfettered access to the underlying PostgreSQL database storing proprietary alpha signals, historical backtesting weights, and live execution logs. Simple deletion in a new commit is insufficient because the file remains fully recoverable from the historical ledger. The purge must be executed across ALL branches of the repository.</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Immediately rotate and invalidate the exposed heady_secret database password on the PostgreSQL server itself. Generate a new cryptographically random password of at least 32 characters. Update all application connection strings to reference the new credential via environment injection, never via file storage. Audit database access logs to determine whether unauthorized access occurred during the exposure window.</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Remove server.pid from version control and permanently add to .gitignore. This file exposes internal process identifiers of the host machine, providing potential attackers with critical insights into the host operating system's process trees, memory allocation, and runtime environment. In the context of a trading system, this metadata enables targeted process-injection attacks.</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Remove audit_logs.jsonl from version control tracking and add to .gitignore. This file exposes sensitive operational metadata including deployment frequencies, error states, internal event logs, and system architecture details. Adversarial actors or competitive market participants can use this data to map the system's operational cadence and identify exploitation windows.</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Remove .heady_deploy_log.jsonl from version control tracking and add to .gitignore. This deployment log contains timestamps, build identifiers, environment configurations, and deployment outcomes that reveal the exact infrastructure topology of the Heady system to any external observer.</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Delete heady-manager.js.bak (71KB) from the repository entirely. This backup file contains full application logic from a previous version, potentially including deprecated and highly insecure code paths, hardcoded credentials, or vulnerable dependencies that were intentionally removed from the production codebase. Tracking .bak or .old files in Git is a severe anti-pattern.</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Enable GitHub Advanced Security features on the repository. Specifically, activate secret scanning alerts and push protection to automatically scan every future pull request and block any commit containing API keys, private RSA keys, database passwords, JWT secrets, or other sensitive tokens. This must be enforced as a mandatory branch protection rule.</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 comprehensive .gitignore file covering all sensitive and transient file types: .env*, *.pid, *.bak, *.old, *.log, audit_logs*, deploy_log*, node_modules/, __pycache__/, .pytest_cache/, *.pyc, dist/, build/, coverage/, .DS_Store, Thumbs.db, *.swp, *.swo, and any IDE-specific configuration directories.</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enterprise-grade secrets management infrastructure using HashiCorp Vault, AWS Secrets Manager, or Doppler. All database credentials, API keys, JWT signing secrets, exchange API tokens, and cryptographic private keys must be stored in the vault and injected at runtime via environment variables. No secrets may exist in any file, configuration, or source code at any time.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pre-commit secret scanning hooks using truffleHog, gitleaks, or detect-secrets. Configure these hooks to scan all staged changes before any commit is allowed. The hook must reject commits containing high-entropy strings, known credential patterns, private key headers, or connection strings.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Conduct a comprehensive audit of the complete Git history across all branches and tags to identify any additional credential leaks, API keys, private keys, or sensitive configuration data that may have been committed at any point in the repository's lifetime. Document all findings and rotate all discovered credentials.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just-in-time credential provisioning for all agent services. Each AI agent (Alpha, Risk, Execution) must receive scoped, short-lived credentials with minimum necessary privileges. Credentials must be automatically rotated on a configurable schedule and immediately revoked upon agent termination.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2.2 Repository Visibility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Audit and restrict repository visibility settings. If the repository is currently public while containing proprietary trading algorithms, multi-agent orchestration logic, or patent-protected IP, it must be converted to private immediately. Implement strict branch protection rules requiring at least two code reviews for any merge to main.</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Role-Based Access Control (RBAC) for repository access. Define distinct permission tiers: read-only for observers, write access for active developers, admin access restricted to the lead integration developer (HeadyBuddy) and designated security personnel only.</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Enable mandatory two-factor authentication (2FA) for all repository contributors. Require hardware security keys (FIDO2/WebAuthn) for any account with write access to production branches.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signed commits policy. Require all commits to be GPG-signed or SSH-signed to establish a verifiable chain of authorship. Reject unsigned commits via branch protection rules.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Configure Dependabot to automatically scan all dependencies (npm, pip, cargo) for known CVEs. Set Dependabot to auto-create pull requests for critical and high-severity vulnerabilities with a maximum SLA of 24 hours for critical patches.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3. Architecture and Code Quality Refactoring</w:t>
      </w:r>
    </w:p>
    <w:p>
      <w:pPr>
        <w:spacing w:after="100"/>
      </w:pPr>
      <w:r>
        <w:rPr>
          <w:rFonts w:ascii="Arial" w:cs="Arial" w:eastAsia="Arial" w:hAnsi="Arial"/>
          <w:color w:val="333333"/>
          <w:sz w:val="20"/>
          <w:szCs w:val="20"/>
        </w:rPr>
        <w:t xml:space="preserve">The Heady repository currently houses over 90 files in the root directory with severe architectural sprawl, multiple God class anti-patterns, duplicated build scripts, mixed language boundaries, and chaotic configuration management. This section addresses every structural deficiency that impedes developer velocity, introduces deployment risk, and prevents deterministic builds.</w:t>
      </w:r>
    </w:p>
    <w:p>
      <w:pPr>
        <w:pStyle w:val="Heading2"/>
        <w:spacing w:after="140" w:before="260"/>
      </w:pPr>
      <w:r>
        <w:rPr>
          <w:rFonts w:ascii="Arial" w:cs="Arial" w:eastAsia="Arial" w:hAnsi="Arial"/>
          <w:b/>
          <w:bCs/>
          <w:color w:val="2E75B6"/>
          <w:sz w:val="25"/>
          <w:szCs w:val="25"/>
        </w:rPr>
        <w:t xml:space="preserve">3.1 Monolith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Refactor heady-manager.js (90KB monolithic God class) into discrete, single-responsibility modules. Create the following directory structure: /src/orchestrator/ for multi-agent coordination logic, /src/middleware/ for authentication, logging, and rate-limiting middleware, /src/routing/ for HTTP and WebSocket route definitions, /src/agents/ for individual agent class definitions (Alpha, Risk, Execution), /src/health/ for health check and readiness probe endpoints. Each module must have its own unit test file.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Refactor site-generator.js (91KB monolithic God class) into a proper, framework-based frontend project using Next.js or Vite. Split the monolithic rendering logic by template type, site section, and component responsibility. Separate concerns: data fetching, template rendering, style generation, and asset management must each occupy distinct modules.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Consolidate the four duplicate PowerShell build scripts (hcautobuild.ps1 at 21KB, hc_autobuild.ps1 at 36KB, hcautobuild_enhanced.ps1 at 21KB, hcautobuild_optimizer.ps1 at 20KB) into a single, highly parameterized deployment script. The unified script must accept environment flags to dynamically determine build optimizations, differentiating between local development, historical backtesting, staging, and live market execution contexts.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Establish strict language runtime boundaries within the source directory. Separate Python files (src/__init__.py and all .py modules) into /src/python/ and JavaScript files into /src/node/. Each runtime environment must have its own dependency management, test configuration, and build pipeline. Cross-language communication must occur exclusively via well-defined IPC or network socket interfaces.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Consolidate the config/ and configs/ directories into a single /config directory with clear, environment-specific subdirectories: /config/development/, /config/staging/, /config/production/, /config/backtesting/. Each environment must have a complete, self-contained configuration set. Implement a configuration loader that validates all required keys are present at startup.</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Standardize on a single package manager across the entire project. The repository currently maintains both a 464KB package-lock.json (indicating npm usage) and a pnpm-lock.yaml (indicating pnpm usage). This dual-tracking causes severe dependency resolution conflicts, leading to non-deterministic builds. Choose pnpm for its superior performance and disk efficiency, delete package-lock.json, and enforce the choice via a .npmrc or packageManager field in package.json.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Reorganize all root-level test files (currently 7+ test files scattered in the root directory) into a dedicated /tests directory with subdirectories mirroring the /src structure: /tests/unit/, /tests/integration/, /tests/e2e/. Update the Jest configuration to reference the new test locations.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Create a comprehensive project directory hierarchy enforcing clear separation of concerns: /src (source code), /tests (all test files), /config (configuration), /scripts (build and deployment scripts), /docs (documentation), /deploy (Docker, Kubernetes, Terraform files), /agents (agent definitions and profiles), /contracts (smart contract code), /models (ML model artifacts and training scripts).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Extract all inline configuration values, magic numbers, thresholds, and hardcoded constants from source code into centralized configuration files. Every tunable parameter, particularly trading thresholds, risk limits, agent timeouts, retry counts, and API endpoints, must be externalized and documented.</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 modular plugin architecture for MCP server integrations. Each MCP server connector (Hummingbot, MetaTrader 5, Alpaca, AlphaVantage, Bright Data) must be implemented as an independent, hot-swappable plugin module that can be loaded, unloaded, and updated without restarting the core orchestration engine.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3.2 CI/CD Pipeline Maturation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Static Application Security Testing (SAST) in the CI pipeline using CodeQL or Semgrep. Configure rulesets covering SQL injection, XSS, command injection, path traversal, insecure deserialization, and cryptographic misuse. Fail the build on any high-severity finding.</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Add automated dependency auditing as a required CI check. Run npm audit (or pnpm audit) and pip-audit on every pull request. Configure severity thresholds: critical vulnerabilities must block merge, high-severity vulnerabilities must generate mandatory review tickets.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Enforce Semantic Versioning via pre-commit hooks. Synchronize the version number across package.json, .env.example, and all documentation files to a single source of truth. Currently, package.json declares v2.1.0, the exposed .env.hybrid references v2.0.0, and the .env.example and documentation reference v3.0.0. This desynchronization creates unpredictable deployment states and makes rollback procedures impossible.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comprehensive end-to-end integration tests for multi-agent interactions. Test the complete workflow: Alpha Agent signal generation, Risk Agent veto logic, Execution Agent order routing, HITL escalation, and hash chain commitment. These tests must run against a simulated market environment in CI.</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Add code coverage requirements with a minimum threshold of 80% for all execution paths. Configure the CI pipeline to block merges when coverage drops below the threshold. Generate coverage reports as CI artifacts for review.</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Create a unified CI/CD deployment pipeline that dynamically selects the correct build, test, and deployment strategy based on the target environment. The pipeline must support: local development (hot reload), backtesting (historical data replay), staging (full integration with paper trading), and production (live market execution with circuit breakers).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Dynamic Application Security Testing (DAST) by running automated penetration tests against the staging environment after each deployment. Use tools like OWASP ZAP or Burp Suite Enterprise to test all API endpoints, WebSocket connections, and authentication flows.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Configure automated license compliance scanning for all dependencies. Flag any dependency using a copyleft license (GPL, AGPL) that could impose disclosure requirements on the proprietary Heady trading algorithms.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blue-green deployment strategy for production releases. Maintain two identical production environments. Deploy new versions to the inactive environment, run smoke tests, and only switch traffic after all health checks pass. Implement instant rollback capability.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Set up automated regression test suites that replay historical market scenarios after every deployment to verify that trading logic produces identical outputs. Any deviation from expected results must block the deployment.</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3.3 Version Control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Create a comprehensive CONTRIBUTING.md document defining code style standards, branch naming conventions (feature/, bugfix/, hotfix/), commit message format (Conventional Commits), pull request templates, and review requirements.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git hooks for automated code formatting on commit using Prettier for JavaScript/TypeScript and Black for Python. Enforce consistent formatting across the entire codebase without manual intervention.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3.3.3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Create architecture decision records (ADRs) documenting every significant technical choice: the selection of balanced ternary logic, Sacred Geometry topology rationale, MIDI 2.0 as transport, MCP as the agent protocol, and the HITL cryptographic design. Store these in /docs/adr/ with sequential numbering.</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Generate and maintain API documentation using OpenAPI/Swagger for all REST endpoints, AsyncAPI for WebSocket interfaces, and JSDoc/Sphinx for internal library documentation. Publish this documentation automatically in CI.</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Create runbooks for every operational procedure: system startup sequence, graceful shutdown, emergency stop, credential rotation, database backup and restore, agent restart, market circuit breaker activation, and incident response. Store in /docs/runbooks/.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4. Infrastructure Hardening and Performance Optimization</w:t>
      </w:r>
    </w:p>
    <w:p>
      <w:pPr>
        <w:spacing w:after="100"/>
      </w:pPr>
      <w:r>
        <w:rPr>
          <w:rFonts w:ascii="Arial" w:cs="Arial" w:eastAsia="Arial" w:hAnsi="Arial"/>
          <w:color w:val="333333"/>
          <w:sz w:val="20"/>
          <w:szCs w:val="20"/>
        </w:rPr>
        <w:t xml:space="preserve">These tasks prepare the system for production-grade throughput, fault tolerance, and continuous observability across the multi-agent architecture. The infrastructure must support sub-millisecond internal communication, graceful degradation under failure conditions, and zero-downtime deployments.</w:t>
      </w:r>
    </w:p>
    <w:p>
      <w:pPr>
        <w:pStyle w:val="Heading2"/>
        <w:spacing w:after="140" w:before="260"/>
      </w:pPr>
      <w:r>
        <w:rPr>
          <w:rFonts w:ascii="Arial" w:cs="Arial" w:eastAsia="Arial" w:hAnsi="Arial"/>
          <w:b/>
          <w:bCs/>
          <w:color w:val="2E75B6"/>
          <w:sz w:val="25"/>
          <w:szCs w:val="25"/>
        </w:rPr>
        <w:t xml:space="preserve">4.1 Containerization and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Containerize all agent services as isolated Docker microservices with independent restart policies. The Alpha Agent, Risk Agent, and Execution Agent must each run in separate containers with defined resource limits (CPU, memory), liveness probes, and readiness probes. A memory leak in the Alpha Agent due to an anomalously large JSON payload from a data provider must not impact the Risk Agent, which must continuously monitor open positions.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Kubernetes orchestration (or highly optimized Docker Compose stack) with auto-scaling policies, resource quotas, pod disruption budgets, and failure isolation. Define horizontal pod autoscaler rules based on CPU utilization, memory pressure, and custom metrics such as pending transaction queue depth.</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Create separate Kubernetes namespaces for each environment: development, staging, backtesting, and production. Implement network policies that prevent cross-namespace communication except through explicitly defined service mesh routes.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container image scanning in CI using Trivy or Grype. Scan all Docker images for OS-level vulnerabilities, misconfigurations, and embedded secrets before pushing to the container registry. Block deployment of images with critical or high-severity findings.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Configure container runtime security using Falco or Sysdig. Monitor for anomalous system calls, unexpected network connections, privilege escalation attempts, and file system modifications within running containers. Alert immediately on any suspicious activity.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the entire containerized architecture (Python execution logic, Node-based MCP servers, Tradovate API bridges) on highly optimized Virtual Private Server hosting environments such as QuantVPS, positioned in close physical proximity to the exchange matching engines to minimize network latency for order execution.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init containers for dependency verification. Before any agent container starts, an init container must verify connectivity to all required services (PostgreSQL, Redis, MCP servers, exchange APIs) and block startup until all dependencies are confirmed healthy.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4.2 Database and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Redis connection pooling using ioredis or a comparable pooling library. Without connection pooling, the Node.js event loop will quickly exhaust all available TCP ports under heavy load due to the computational overhead of continuously opening, negotiating, and closing discrete connections for every single inter-agent message, query, and state synchronization operation.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Configure Redis Sentinel or Redis Cluster for high availability. A single Redis instance represents a catastrophic single point of failure for the entire multi-agent communication bus. Deploy a minimum of three Redis nodes with automatic failover and data replication.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PostgreSQL connection pooling using PgBouncer or pgpool-II. Configure connection limits, idle timeout, and pool sizing based on the expected concurrent connection count from all agent services.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Set up automated database backup schedules with point-in-time recovery capability. Backups must be encrypted at rest, stored in a geographically separate location, and tested for restorability on a weekly basis.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database migration management using Flyway or Alembic. All schema changes must be version-controlled, reversible, and applied through the CI/CD pipeline rather than manual execution.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a dedicated vector database (Redis Vector Search, Pinecone, or Weaviate) for the Context Fabric RAG/Memory service. This ensures Pattern Weaver agents have consistent, high-performance access to embedding-indexed historical context across sessions.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data partitioning strategy for the trading data store. Partition tick data, order book snapshots, and trade execution logs by date and instrument to maintain query performance as data volume grows.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4.3 Observability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Replace all console.log statements throughout the entire codebase with structured logging using Pino (Node.js) or structlog (Python). Output JSON-formatted logs with consistent fields: timestamp, service_name, agent_id, trace_id, span_id, log_level, message, and context metadata. This is essential for ingestion by modern observability stacks (ELK, Datadog, Splunk, Grafana Loki).</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OpenTelemetry v1.37+ distributed tracing across all services. Capture every LLM call, MCP tool invocation, database query, HTTP request, WebSocket message, and MIDI packet as spans within a parent agent trace. Use the semantic conventions for GenAI operations to capture model name, token counts, and inference latency.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standardized health check endpoints (/healthz for liveness, /readiness for dependency verification, /startup for initialization status) on all microservices and individual agent nodes. These endpoints are critical for Kubernetes to determine pod viability, route traffic away from failing nodes, and automatically restart stalled or hallucinating agents.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a centralized metrics dashboard (Grafana) with pre-built panels for: agent CPU/memory utilization, Redis connection pool saturation, MCP tool call latency percentiles (p50, p95, p99), order execution latency, open position count, current drawdown percentage vs. Apex limits, MIDI packet throughput, and LLM token consumption rate.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real-time alerting rules for critical operational thresholds: drawdown approaching 80% of Apex limit, agent container restart count exceeding 3 in 5 minutes, MCP server response time exceeding 500ms, Redis memory utilization exceeding 80%, database connection pool exhaustion, and any unhandled exception in the Execution Agent.</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Set up log aggregation pipeline with retention policies: 90 days for application logs, 7 years for trade execution logs and audit trails (regulatory compliance), 30 days for debug-level agent reasoning traces.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distributed request correlation. Every incoming request, trading signal, and agent action must be tagged with a unique correlation ID that propagates across all service boundaries, enabling end-to-end tracing from signal detection through order execution.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synthetic monitoring that continuously sends test transactions through the paper trading environment to verify end-to-end system functionality. Alert immediately if synthetic transaction latency exceeds baseline by more than 2 standard deviations.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4.4 Network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Conduct comprehensive bundle optimization audit of all 14 production dependencies. Evaluate the true necessity of each dependency, tree-shake unused exports, identify duplicate sub-dependencies, and minimize the attack surface and memory footprint of the final deployment.</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Node.js event loop monitoring. Track event loop lag, active handle count, and heap utilization. Alert when event loop lag exceeds 100ms, indicating potential blocking operations or memory leaks that could delay order execution.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Configure garbage collection tuning for the Node.js runtime. Set appropriate heap size limits (--max-old-space-size) based on the service's memory profile. Enable GC tracing in development to identify memory leak patterns.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connection keepalive and HTTP/2 multiplexing for all outbound API connections to exchanges, data providers, and MCP servers. Eliminate TCP handshake overhead for repeated requests to the same endpoint.</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a reverse proxy (Nginx or Envoy) in front of all public-facing services. Configure TLS 1.3 termination, rate limiting, request size limits, and DDoS protection. Implement request buffering to protect backend services from slow-client attacks.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WebSocket connection management with automatic reconnection, exponential backoff, heartbeat monitoring, and dead connection cleanup. All exchange data feeds must reconnect transparently within 5 seconds of any disconnection.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a message queue (Apache Kafka, RabbitMQ, or NATS) for asynchronous inter-agent communication. Replace any synchronous point-to-point REST calls between agents with event-driven pub/sub messaging to eliminate coupling and improve fault tolerance.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4.4.8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circuit breaker pattern (using libraries like opossum or cockatiel) on all external service calls. If an exchange API or MCP server becomes unresponsive, the circuit breaker must trip after a configurable failure threshold, preventing cascading failures and allowing the system to degrade gracefully.</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5. Multi-Agent Orchestration (Sacred Geometry Framework)</w:t>
      </w:r>
    </w:p>
    <w:p>
      <w:pPr>
        <w:spacing w:after="100"/>
      </w:pPr>
      <w:r>
        <w:rPr>
          <w:rFonts w:ascii="Arial" w:cs="Arial" w:eastAsia="Arial" w:hAnsi="Arial"/>
          <w:color w:val="333333"/>
          <w:sz w:val="20"/>
          <w:szCs w:val="20"/>
        </w:rPr>
        <w:t xml:space="preserve">The Sacred Geometry multi-agent orchestration framework is the theoretical backbone and primary differentiator of the Heady project. It organizes agent interactions into rigid, predefined topological structures based on the Seven Sacred Arcs, utilizing 87 foundation glyphs as accessible core nodes for specialized sub-agents. This section details every task required to implement the framework as a production-grade distributed system.</w:t>
      </w:r>
    </w:p>
    <w:p>
      <w:pPr>
        <w:pStyle w:val="Heading2"/>
        <w:spacing w:after="140" w:before="260"/>
      </w:pPr>
      <w:r>
        <w:rPr>
          <w:rFonts w:ascii="Arial" w:cs="Arial" w:eastAsia="Arial" w:hAnsi="Arial"/>
          <w:b/>
          <w:bCs/>
          <w:color w:val="2E75B6"/>
          <w:sz w:val="25"/>
          <w:szCs w:val="25"/>
        </w:rPr>
        <w:t xml:space="preserve">5.1 Agent Architecture and 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Alpha Agent as a dedicated, isolated service exclusively responsible for continuous ingestion and parsing of technical price action, order book depth, and fundamental market data streams. The Alpha Agent must maintain its own internal state machine, receive data through dedicated MIDI virtual channels, and output trading signals as structured events on the agent communication bus.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Risk Agent as a highly privileged, isolated node possessing ultimate veto power over the entire agent network. The Risk Agent must continuously monitor margin usage, open equity, unrealized P&amp;L, and precisely track the restrictive drawdown limits imposed by Apex Trader Funding. It must be capable of forcefully flattening all positions within 100ms of detecting a breach condition.</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Execution Agent as a latency-optimized service stripped of all analytical overhead. It must focus purely on order routing, slippage minimization, and direct interaction with the exchange matching engine via the Rithmic or Tradovate APIs. The Execution Agent must support market orders, limit orders, stop orders, and OCO (one-cancels-other) order pairs.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Sentinel Agent (NIDS) based on the foundational network intrusion detection heuristics from Heady et al. (1990). This agent passively monitors all transaction payload streams on the MIDI virtual channels. When an anomaly is detected, whether unusual transaction frequency, unrecognized algorithmic execution patterns, or generative AI alerts, the Sentinel halts autonomous processing and routes the state data into the HITL escalation queue.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Compliance Agent responsible for dynamic compliance screening of all transaction participants per the asset transfer platform patent (US10693658B2). This agent checks counterparty identity against the LDAP directory, screens against sanctions lists, and enforces KYC/AML rules before any transfer is permitted to execute.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Data Agent dedicated to real-time web scraping, sentiment analysis, and event-driven news parsing via the Bright Data MCP server. This agent feeds contextual intelligence to the Alpha Agent, enriching technical signals with fundamental and sentiment data.</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View Agent (Renderer Agent) as a dedicated service whose sole purpose is to take raw, verified data from analytical agents and translate it into the optimal output format for the UI. This agent is responsible for all A2UI JSON blueprint generation, ensuring consistent branding and theming across all interfaces.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Bridge Builder agent (API Gateway) responsible for connecting disparate algorithmic elements, resolving type conflicts, and managing API mismatches between internal services and external MCP server integrations.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agent lifecycle management: startup sequencing (dependency-aware), graceful shutdown (flush pending operations to hash chain), health monitoring (detect hallucinating or stuck agents), and automatic restart with state recovery.</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agent versioning and hot-swap capability. Allow individual agents to be updated to new versions without restarting the entire orchestration network. Use canary deployment patterns where the new agent version receives a small percentage of traffic before full rollover.</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5.2 Balanced Ternary Logic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balanced ternary logic engine operating on the {-1, 0, +1} matrix rather than traditional binary {0, 1}. The +1 state represents Attract (buy signal / execute), the -1 state represents Repel (sell signal / reject), and the 0 state represents the Epistemic Hold, an active verification window, not a passive null state.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Epistemic Hold (0 state) as a mandatory, time-bounded algorithmic verification window inserted between the proposition of a trade (+1 intent) and its final capital commitment. During this window, the Risk Agent evaluates drawdown thresholds, the Execution Agent queries order book liquidity, and the Data Agent scrapes breaking news feeds to ensure the signal is not a trap.</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Sparse Computation optimization: during tensor calculations, actively skip the -1 (repel) positions entirely rather than computing near-zero weights. This drastically reduces computational overhead during agent-to-agent negotiations and accelerates inference times during high-volatility events where milliseconds dictate profitability.</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ternary weight quantization function for neural network layers. Weights w are quantized into ternary values using a symmetric threshold delta: +alpha if w &gt; delta, 0 if |w| &lt;= delta, -alpha if w &lt; -delta, where alpha is the mean of absolute weight values in the layer.</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configurable Epistemic Hold timeout parameters: minimum hold duration, maximum hold duration, early-release conditions (all agents vote +1), and forced-reject conditions (any agent votes -1 or timeout expires without consensus).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5.3 Inter-Agent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standardized agent message envelopes for all inter-agent communication. Every message must contain: source_agent_id, target_agent_id, message_type, correlation_id, timestamp, ternary_state, payload, and cryptographic signature.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event-driven pub/sub topology using Redis Pub/Sub or Apache Kafka to eliminate the O(n^2) quadratic connection complexity of large agent networks. Each agent publishes events to specific topic channels and consumes only relevant notifications without point-to-point connections.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5.3.3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dead letter queues for failed inter-agent messages. Messages that cannot be delivered after configurable retry attempts must be routed to a dead letter queue for manual inspection and replay.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agent priority levels for message routing. Risk Agent messages (especially veto signals and emergency position flattening commands) must always be processed before Alpha Agent signals or Data Agent enrichments. Use priority queues to enforce this ordering.</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message deduplication to prevent the same trading signal from being processed multiple times due to network retries or agent restart recovery. Use idempotency keys based on the correlation_id and timestamp.</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5.3.6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Adaptive Evaluation Multi-Agent (AEMA) framework for process-aware, auditable multi-step workflows. Unlike a solitary LLM-as-a-judge mechanism prone to hallucination, the AEMA aggregates evaluations across the heterogeneous agent network, maintaining cryptographic records for institutional accountability.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6. Model Context Protocol (MCP) Integration</w:t>
      </w:r>
    </w:p>
    <w:p>
      <w:pPr>
        <w:spacing w:after="100"/>
      </w:pPr>
      <w:r>
        <w:rPr>
          <w:rFonts w:ascii="Arial" w:cs="Arial" w:eastAsia="Arial" w:hAnsi="Arial"/>
          <w:color w:val="333333"/>
          <w:sz w:val="20"/>
          <w:szCs w:val="20"/>
        </w:rPr>
        <w:t xml:space="preserve">The Model Context Protocol is the architectural bridge that transitions the AI agents from isolated text-generation models into active, deterministic participants capable of executing precise programmatic commands against external financial infrastructure. This section covers every MCP server integration, gateway configuration, and protocol optimization required for the Heady ecosystem.</w:t>
      </w:r>
    </w:p>
    <w:p>
      <w:pPr>
        <w:pStyle w:val="Heading2"/>
        <w:spacing w:after="140" w:before="260"/>
      </w:pPr>
      <w:r>
        <w:rPr>
          <w:rFonts w:ascii="Arial" w:cs="Arial" w:eastAsia="Arial" w:hAnsi="Arial"/>
          <w:b/>
          <w:bCs/>
          <w:color w:val="2E75B6"/>
          <w:sz w:val="25"/>
          <w:szCs w:val="25"/>
        </w:rPr>
        <w:t xml:space="preserve">6.1 MCP Gateway and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the MCP Gateway Server as the primary AI-to-tool translation bridge. The gateway must accept incoming Universal MIDI Packet streams from Heady user interfaces and translate binary vectors into structured JSON-RPC 2.0 tool calls. It must maintain persistent WebSocket connections back to the central AI inference engines.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Define the complete unified control layer as strictly typed JSON Schemas. Every manipulable element, telemetry node, trading parameter, risk threshold, and chat history retrieval function must be explicitly defined as a discrete MCP tool with full parameter validation, description, and error handling.</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MCP tool versioning. Allow multiple versions of the same tool to coexist, enabling backward-compatible upgrades. Deprecated tool versions must log warnings and include migration guidance.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high-throughput binary-to-JSON translation gateway. As Universal MIDI Packets arrive over the network port, they must be rapidly decoded. For Mixed Data Set messages spanning multiple packets, the gateway must cache Start and Continue packets, assembling the complete binary array until the terminal End packet arrives. Only upon successful assembly is the full payload serialized into JSON and routed to the proper tool handler.</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MCP server health monitoring. The orchestration engine must continuously ping every MCP server integration, verifying WebSocket connections to Tradovate, Hummingbot, AlphaVantage, and all other external services. If any critical node experiences latency exceeding a predefined millisecond threshold, immediately halt all trading activity and forcefully flatten all open positions.</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MCP rate limiting and backpressure. Prevent any single agent from overwhelming an MCP server with excessive tool calls. Configure per-agent, per-tool, and per-server rate limits with appropriate queuing behavior.</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MCP request/response logging. Log every tool call including input parameters, execution duration, response status, and output payload. These logs are essential for debugging agent behavior, auditing trading decisions, and training improved agent policies.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OAuth 2.0 authentication for all MCP server connections. Agents must receive scoped, short-lived JWTs granting access only to the specific tools required by their role. The Risk Agent must not have access to order execution tools; the Execution Agent must not have access to risk parameter modification tools.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6.2 Financial MCP Server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Hummingbot MCP Server for unified cryptocurrency exchange management. Configure access to portfolio balances across multiple exchanges, real-time funding rates on perpetual futures contracts, dynamic position management, and cross-asset swap execution. Implement error handling for exchange-specific API quirks and rate limits.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MetaTrader 5 MCP Server for forex and futures algorithmic execution. Configure direct placement of market and limit orders, leverage and margin level monitoring, real-time tick data ingestion, and position management. Implement reconnection logic for terminal disconnections.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Alpaca MCP Server for institutional-grade equities and options trading. Configure order types (market, limit, stop, trailing stop), extended hours trading support, and real-time account status monitoring.</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AlphaVantage MCP Server for deep fundamental data ingestion. Configure access to 100+ APIs providing historical pricing, earnings reports, balance sheets, cash flow statements, and economic indicators. This data feeds the RL training pipeline.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Bright Data MCP Server for real-time web scraping and unstructured data gathering. Configure crawlers for financial news sites, social media sentiment, regulatory filings, and earnings call transcripts. Implement rate limiting and proxy rotation.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mcp-trader server for advanced technical analysis. Configure access to pre-built financial analysis functions including analyze-stock, detect-patterns, and calculate indicators (RSI, MACD, Bollinger Bands, VWAP, OBV). Offload complex mathematical calculations from the LLM context.</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custom MCP server wrapper for the Rithmic API, which provides the direct market data feed within the Apex Trader Funding ecosystem. Expose Level 2 order book depth and tick-by-tick transaction data as MCP Resources that agents can subscribe to.</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custom MCP server wrapper for the Tradovate API. Expose order placement, account balance queries, position management, and margin monitoring as MCP Tools. Implement the WebSocket-based real-time data feed as an MCP Resource subscription.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7. MIDI 2.0 / Universal MIDI Packet Transport Layer</w:t>
      </w:r>
    </w:p>
    <w:p>
      <w:pPr>
        <w:spacing w:after="100"/>
      </w:pPr>
      <w:r>
        <w:rPr>
          <w:rFonts w:ascii="Arial" w:cs="Arial" w:eastAsia="Arial" w:hAnsi="Arial"/>
          <w:color w:val="333333"/>
          <w:sz w:val="20"/>
          <w:szCs w:val="20"/>
        </w:rPr>
        <w:t xml:space="preserve">The MIDI 2.0 Universal MIDI Packet specification serves as the ultra-low-latency, deterministic data transport layer for the Heady ecosystem. Unlike traditional HTTP/REST architectures that introduce significant TCP handshake overhead, HTTP header bloat, and garbage collection latency, the UMP format provides 32-bit aligned binary packets transmitted at sub-millisecond latency. This section covers every task required to fully implement and optimize this transport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Update internal forks of the mido and python-rtmidi libraries to achieve absolute compliance with the Universal MIDI Packet specifications ratified in June 2023. Implement efficient bitwise parsing logic within Python to natively construct and deconstruct the 32-bit, 64-bit, 96-bit, and 128-bit aligned arrays.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Message Type 0x5 (Mixed Data Set) parsing. Build native object classes to handle the complex chunking algorithms: Start packets (containing total chunk count), Continue packets (intermediate payloads with chunk sequence index), and End packets (terminal closure). Implement robust error-handling for out-of-order packets and stream interleaving via the 8-bit Stream Identifier.</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System Exclusive 8 protocol support, which eliminates the legacy constraint of setting the highest bit of every data byte to zero. This provides a 14% increase in raw throughput efficiency and removes the need for complex 7-to-8-bit decoding algorithms.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User Datagram Protocol (UDP) listeners on all client devices, web application backends, and mobile platforms to implement the Network MIDI 2.0 backbone. These listeners must bind to predefined ports for low-latency data transfer and support auto-discovery across subnet topologies.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Session Management and Auto-Discovery protocols inherent to the Network MIDI 2.0 specification. Dynamic environments must automatically locate, authenticate, and connect to the correct Heady edge servers without manual user configuration.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Jitter Reduction Timestamp mechanism. When negotiated via MIDI Capability Inquiry, a 32-bit timestamp is prepended to any UMP to specify the intended render/execution time in the receiver's clock domain. This preserves precise temporal relationships between sequential events, eliminating temporal smearing.</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telemetry decimation and thresholding at edge servers. High-resolution UMP streams must be mathematically smoothed and down-sampled before transmission to the LLM. The AI only receives JSON-RPC notifications when a parameter crosses a statistically significant threshold or when the temporal velocity indicates finalized user intent.</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Capability Inquiry Property Exchange mechanism for dynamic UI generation. The MCP server broadcasts the AI's current cognitive Profile, and the frontend client dynamically renders the required control surface based on the returned JSON schema. When the LLM transitions states, it pushes a new Profile and the UI morphs in real-time.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DTLS (Datagram Transport Layer Security) over Network MIDI 2.0 UDP connections. Encrypt all binary streams between client interfaces and edge servers while maintaining sub-millisecond encryption overhead on the real-time stream.</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hexadecimal state vector encoding system for the python-rtmidi virtual channels. Repurpose MIDI 3-byte arrays as cryptographic state vectors: first byte defines transaction class, second byte defines compliance risk score, third byte acts as a pointer to an encrypted memory buffer.</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8. Human-in-the-Loop (HITL) Cryptographic Bus</w:t>
      </w:r>
    </w:p>
    <w:p>
      <w:pPr>
        <w:spacing w:after="100"/>
      </w:pPr>
      <w:r>
        <w:rPr>
          <w:rFonts w:ascii="Arial" w:cs="Arial" w:eastAsia="Arial" w:hAnsi="Arial"/>
          <w:color w:val="333333"/>
          <w:sz w:val="20"/>
          <w:szCs w:val="20"/>
        </w:rPr>
        <w:t xml:space="preserve">The HITL cryptographic bus is the core security architecture ensuring that no high-risk transaction, AI agent execution, or asset transfer proceeds without verifiable human authorization. This section covers every component from network intrusion detection through proxy re-encryption, biometric signing, and immutable audit logging.</w:t>
      </w:r>
    </w:p>
    <w:p>
      <w:pPr>
        <w:pStyle w:val="Heading2"/>
        <w:spacing w:after="140" w:before="260"/>
      </w:pPr>
      <w:r>
        <w:rPr>
          <w:rFonts w:ascii="Arial" w:cs="Arial" w:eastAsia="Arial" w:hAnsi="Arial"/>
          <w:b/>
          <w:bCs/>
          <w:color w:val="2E75B6"/>
          <w:sz w:val="25"/>
          <w:szCs w:val="25"/>
        </w:rPr>
        <w:t xml:space="preserve">8.1 Transaction Simulation and Interface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Semantic Transaction Simulation Engine. When a transaction is flagged for HITL review, intercept the encrypted payload pointer from the MIDI bus. Spin up a lightweight local node or utilize an RPC simulation endpoint (similar to Tenderly) to execute the transaction against the current blockchain state without broadcasting it. Capture all state deltas: which tokens moved, which approvals changed, which balances shifted.</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ABI-to-human-readable translation layer. Map Application Binary Interfaces to human-readable text templates using ERC-7730 format specifications. Instead of displaying raw hexadecimal like 0x095ea7b3, the UI must present: 'You are granting Uniswap permission to spend up to 100 USDC on your behalf.' Every contract interaction must have a corresponding semantic template.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Enforce eslint-plugin-no-unsanitized rules across ALL frontend rendering code, including the compliance officer e-form interface, the admin dashboard, and the trader widget. The custom ESLint rule must entirely disallow unsafe DOM manipulations: innerHTML, outerHTML, insertAdjacentHTML, document.write, and eval. Enforce at the compilation level to guarantee text-only rendering.</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addons-linter (Node.js) for global validation of all modular plugins integrated into the system. Run validation as a CI pipeline step to ensure strict security compliance of all browser-based control surfaces.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Pass all human-readable simulation output through the toffee templating engine for strict sandboxed rendering. The toffee engine supports post-processing via {#... #} blocks without exposing underlying server state, preventing any executable code from the simulation leaking into the DOM.</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progressive disclosure in the approval UI. The top layer presents the plain-language summary and net token balance change. Expandable sections reveal decoded parameters, multi-modal key-address mappings, raw transaction hex, and gas estimation. Each disclosure level must be sanitized independently.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dynamic visual security warnings contextualized to each transaction. Replace generic alerts with specific risk indicators: 'Warning: This destination address has never interacted with your institution previously' or 'Warning: The AI Risk Score for this transaction is 92/100' or 'Warning: Transaction value exceeds the 95th percentile of your historical transactions.'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8.2 Cryptographic Operations and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adaptive chosen-message attack resistant digital signature scheme per patent US5432852A. The scheme uses dynamic selection of a hash function from a vast space of highly collision-resistant functions. The signature binds to the message, the operator's private key, and a randomized element of the hash function space: Sigma = Sign(K_priv)(H_r(M || N)) where N is a server-generated nonce.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elliptic curve proxy re-encryption per patent US20210021429A1. When the automated system halts a transaction, the payload encrypted under the system's symmetric key is re-encrypted by the proxy node specifically for the designated human compliance officer's public key. The proxy must never learn the underlying plaintext.</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LDAP/X.509 credential validation workflow per patent US20070118732A1. The human operator's login ID, password, and optional token are compressed and encrypted for transmission to the server. The server decrypts and validates credentials against the authentication server using LDAP, supporting X.509 certificate standards.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PKCS #7 (CMS) envelopment for form signing. Upon successful LDAP validation, the server signs the enclosed form data with the server's digital certificate and private key using PKCS #7 or CMS protocols. This creates a non-repudiable record of the human operator's authorization.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immutable hash chain (append-only ledger) per patent US20220200787A1. Every action in the ecosystem must be cryptographically hashed and appended: the automated initiation, the NIDS/compliance flag, the proxy re-encryption, the LDAP authentication, and the final human PKCS #7 signature. This provides a time-stamped, tamper-evident record.</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multi-modal cryptographic key-address mapping database per patent US9830593B2. Bind internal LDAP/X.509 directories to specific blockchain public keys. In the mobile approval screen, replace raw addresses like 0x71C...3aF with validated institution names: 'Counterparty: Anchorage Digital Vault 3'. If an address cannot be mapped, throw a high-severity visual warning.</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Investigate and begin planning for quantum-resistant cryptographic migration. The hash chain and signing algorithms must be evaluated for vulnerability to Shor's algorithm. Create a migration roadmap for transitioning to lattice-based cryptography (CRYSTALS-Kyber, CRYSTALS-Dilithium) when NIST standards are finalized.</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8.3 WYSIWYS Mobile Sandbox and Nuke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WYSIWYS (What You See Is What You Sign) Mobile Biometric Sandbox as an independent React Native application. This app must: receive proxy-encrypted payloads via out-of-band notification, render AST-sanitized human-readable transaction simulations using the toffee engine, and capture native OS biometrics (FaceID/TouchID) to trigger the fast-signing algorithm.</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out-of-band notification routing using the imap-simple asynchronous module. When a transaction is flagged, push a notification to the operator's dedicated mobile device completely outside the web application's execution context. The approval must never occur in the same web DOM context where the transaction was initiated.</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8.3.3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Nuke Switch circuit breaker architecture. The AI agent must operate in a completely air-gapped execution environment: it can propose transactions or actions but lacks cryptographic keys to sign execution payloads. Every command generated by the AI is intercepted on the rtmidi bus by the NIDS Sentinel. The human operator receives the WYSIWYS simulation and must use biometric signature to authorize.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Program the hash chain consensus logic per patent US20220200787A1 to physically reject any block containing an AI-generated high-risk transaction unless it contains the biometric, WYSIWYS-generated signature from the mobile sandbox. This creates an unforgeable, legally compliant audit trail proving human oversight.</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exit-hook utility for fault-tolerant state preservation. If a server instance crashes or is forcefully rebooted while an operator is mid-review, the exit-hook execution block must fire, instantly flushing the MIDI virtual port buffers and saving the exact state of all pending PKCS #7 signature requests to the hash chain.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8.3.6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image-size utility integration for rendering complex, multi-modal e-forms containing scanned identity documents, compliance charts, and transaction visualizations within the secure mobile portal. All images must have dimensions pre-calculated for responsive layout.</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9. Apex Trader Funding Compliance Engine</w:t>
      </w:r>
    </w:p>
    <w:p>
      <w:pPr>
        <w:spacing w:after="100"/>
      </w:pPr>
      <w:r>
        <w:rPr>
          <w:rFonts w:ascii="Arial" w:cs="Arial" w:eastAsia="Arial" w:hAnsi="Arial"/>
          <w:color w:val="333333"/>
          <w:sz w:val="20"/>
          <w:szCs w:val="20"/>
        </w:rPr>
        <w:t xml:space="preserve">The rules governing Apex Trader Funding capitalized accounts are absolute and unforgiving. A singular programmatic error resulting in a rule breach immediately liquidates the account and requires the payment of reset fees. Every constraint in this section must be hardcoded at the deepest level of the Risk Agent's core logic and treated as an immutable physical law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Hardcode the Intraday Trailing Drawdown logic into the Risk Agent as the highest-priority monitoring function. The threshold tracks the highest open equity achieved during the active trading session (not end-of-day closed balance). For a $50,000 account, the trailing threshold is $2,500. Starting failure threshold is $47,500. If equity floats to $51,000 unrealized, the threshold immediately trails to $48,500. If equity then drops to $48,400, the account is permanently cancelled. The Risk Agent must dynamically adjust hard stop-loss orders on the exchange server on a sub-second, tick-by-tick basis.</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30% consistency rule enforcer. No single trade may constitute more than 30% of total generated profits across the evaluation period. If a sudden market dislocation triggers an outsized win breaching this ratio, the Risk Agent must dynamically reprogram the Execution Agent to execute a series of smaller, consistent micro-trades across subsequent days to mathematically dilute the single trade's impact below 30%.</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contract scaling limiter. During the evaluation period, algorithmically restrict trading to only half of the maximum allowable contracts until the 'trailing threshold unlock point' is reached. This point is defined as: end-of-day balance &gt;= Starting Balance + Trailing Threshold + $100. For a $50,000 account, lock to max 40 micros (4 minis) until balance closes at $52,600 or higher, then unlock full 80 micros (8 minis).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payout safety net calculator. For the first three payouts on a funded account, the balance must be maintained above: Starting Balance + Trailing Threshold + $100 immediately after any withdrawal. For a $50,000 account: if balance is $53,100 (profit of $3,100), the safety net is $52,600, meaning only $500 can be withdrawn. The first $2,600 of profit is effectively a permanent non-withdrawable buffer.</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mandatory 7-day active trading day tracker for evaluation. The headybuddy agent cannot pass the evaluation in fewer than 7 trading days regardless of profit. Track each unique day with at least one executed trade and prevent premature completion attempts.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one-direction position enforcement. The system is strictly prohibited from holding opposing positions simultaneously. Traders can only hold positions in one direction, either long or short, at any given time. The Execution Agent must reject any order that would create a hedging or straddle position during periods of extreme macroeconomic volatility.</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8-day trading cycle tracker for payout eligibility on funded accounts. The agent must register exactly 8 active trading days between any withdrawal requests. Implement countdown display and prevent premature withdrawal attempts.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profit share calculation engine. Traders keep 100% of profits from the first $25,000 in withdrawals. Subsequent withdrawals are subject to a 90/10 profit split (90% to trader, 10% to Apex). The system must accurately calculate and display net withdrawal amounts.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with supported Apex execution platforms using the backend technology of Rithmic, Tradovate, or WealthCharts. Build adapters for each platform's specific API, data format, and order management protocol.</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TradersPost for multi-account execution routing. A single algorithmic trading decision must be simultaneously routed to multiple Apex evaluation and funded accounts while rigorously respecting each individual account's specific drawdown rules, contract limits, and scaling restrictions.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mandatory stop-loss and take-profit parameters for every order submitted by the Execution Agent. No position may be opened without an attached stop-loss order calculated to prevent the trailing drawdown from being breached under any market condition.</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pre-trade risk calculator that simulates the worst-case impact of any proposed trade on the trailing drawdown threshold, consistency ratio, and contract limits BEFORE the order is submitted. Reject trades that would put any compliance metric within a configurable safety margin of the hard limit.</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real-time dashboard displaying all Apex compliance metrics: current trailing threshold level, distance to breach, today's highest equity, largest single trade as percentage of total profit, active trading day count, contract utilization vs. limit, and payout eligibility countdown.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an emergency position flattening procedure. If the Risk Agent detects any condition approaching 90% of any Apex hard limit, it must immediately close all open positions at market price, cancel all pending orders, and suspend automated trading until a human operator reviews and re-enables the system.</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10. Machine Learning and Deep Reinforcement Learning Pipeline</w:t>
      </w:r>
    </w:p>
    <w:p>
      <w:pPr>
        <w:spacing w:after="100"/>
      </w:pPr>
      <w:r>
        <w:rPr>
          <w:rFonts w:ascii="Arial" w:cs="Arial" w:eastAsia="Arial" w:hAnsi="Arial"/>
          <w:color w:val="333333"/>
          <w:sz w:val="20"/>
          <w:szCs w:val="20"/>
        </w:rPr>
        <w:t xml:space="preserve">Achieving continuous profitability requires the underlying models to be rigorously trained using advanced Deep Reinforcement Learning techniques optimized for the sequential decision-making challenges of financial time-series data. This section covers algorithm selection, reward function design, data pipeline construction, and training infrastructure.</w:t>
      </w:r>
    </w:p>
    <w:p>
      <w:pPr>
        <w:pStyle w:val="Heading2"/>
        <w:spacing w:after="140" w:before="260"/>
      </w:pPr>
      <w:r>
        <w:rPr>
          <w:rFonts w:ascii="Arial" w:cs="Arial" w:eastAsia="Arial" w:hAnsi="Arial"/>
          <w:b/>
          <w:bCs/>
          <w:color w:val="2E75B6"/>
          <w:sz w:val="25"/>
          <w:szCs w:val="25"/>
        </w:rPr>
        <w:t xml:space="preserve">10.1 Algorithm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Deep Deterministic Policy Gradient (DDPG) for continuous action spaces. This allows the headybuddy agent to output exact, granular position sizes (for example, 3.4 standard lots based on precise risk calculations) rather than being constrained to discrete binary buy/sell choices. Configure the actor-critic network architecture with separate target networks and soft update parameters.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Proximal Policy Optimization (PPO) as the primary stable training algorithm. PPO prevents the policy network from updating too aggressively by clipping the probability ratio. This is absolutely vital in noisy financial environments where extreme gradient updates caused by a single anomalous market crash can irreparably destroy a model's accumulated edge.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Hindsight Experience Replay (HER) for maximum data efficiency. When the agent executes a trade that hits a stop-loss, HER reframes the event in the replay buffer to understand what goal the trajectory actually achieved. This ensures the agent learns the contours of market reversals from every losing trade.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Soft Actor-Critic (SAC) as an alternative entropy-regularized algorithm. SAC maximizes both expected return and entropy, encouraging exploration of diverse trading strategies. This prevents the agent from converging prematurely on a single strategy that may fail in regime changes.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Twin Delayed DDPG (TD3) to address overestimation bias in value function approximation. TD3 uses clipped double Q-learning, delayed policy updates, and target policy smoothing to produce more stable and accurate value estimates for trading positions.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Set up Ray RLlib as the distributed training infrastructure. Configure with TensorFlow 2.0 and PyTorch backends for multi-agent reinforcement learning. RLlib's highly customizable nature makes it optimal for the heterogeneous agent network.</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10.2 Reward Function and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Design and implement the primary reward function R(t). The function must not merely maximize absolute financial return but must be strictly and aggressively penalized by maximum intraday drawdown D(t). Calculate: R = net_profit - lambda * (max_drawdown)^2 - mu * max(0, position_size - limit). The squared drawdown penalty ensures the agent prioritizes survival over maximum yield.</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 secondary reward component penalizing the 30% consistency violation. Any trade that would cause a single trade to represent more than 25% (safety margin) of total profits should receive a negative reward signal proportional to the overage.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Cleanlab for data-centric AI training data validation. Automatically detect and correct labeling errors in the historical market dataset. Specifically address ontological class overlap, the dangerous situation where the market state preceding a profitable breakout looks mathematically identical to the state preceding a devastating false breakout.</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complete historical backtesting pipeline. Ingest cleaned data from AlphaVantage covering a minimum of 5 years of market data across the target instruments. Validate all RL policies against historical data with walk-forward optimization to prevent overfitting.</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inference-scaling during the Epistemic Hold state. Allocate expanded compute resources to unroll complex decision trees, run Monte Carlo market outcome simulations, and evaluate multiple strategy branches before committing to final execution.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model versioning and registry system. Every trained model must be versioned, tagged with training hyperparameters, evaluation metrics (Sharpe ratio, max drawdown, win rate, profit factor), and linked to the exact training dataset. Implement model comparison dashboards.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paper trading validation. Before any RL model is deployed to a live funded account, it must pass a minimum 30-day paper trading period demonstrating: positive Sharpe ratio above 1.5, maximum drawdown below 60% of Apex limit, consistency ratio compliance, and zero rule violations.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state space representation for the RL environment. Include: OHLCV price data at multiple timeframes, order book depth (bid/ask levels and volumes), technical indicators (RSI, MACD, Bollinger Bands, VWAP, ATR), current position state, unrealized P&amp;L, distance to drawdown limit, and ternary logic agent consensus.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10.3 Data Ingestion and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real-time Level 2 order book ingestion pipeline. Process bid/ask depth, order flow imbalance, and volume-weighted average price directly from the Rithmic or Tradovate data feed. These continuous streams provide the raw material for the Alpha Agent's signal generation.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tick-by-tick data storage and replay infrastructure. Store every tick with nanosecond precision timestamps for accurate backtesting and model training. Implement efficient compression and retrieval for multi-year tick databases.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10.3.3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market regime detection module. Classify current market conditions (trending, ranging, volatile, low-volume) and feed this classification to the RL model as a contextual feature. The agent should adapt its strategy based on the detected regime.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feature engineering pipeline with automated feature selection. Generate candidate features from raw market data, evaluate feature importance using SHAP values or permutation importance, and automatically prune features that do not contribute to model performance.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data quality monitoring system. Continuously validate incoming market data for gaps, stale prices, outliers, and feed disconnections. Alert immediately on data quality degradation and halt trading if data integrity cannot be verified.</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11. UI/UX, Admin Dashboard, and Trader Widget</w:t>
      </w:r>
    </w:p>
    <w:p>
      <w:pPr>
        <w:spacing w:after="100"/>
      </w:pPr>
      <w:r>
        <w:rPr>
          <w:rFonts w:ascii="Arial" w:cs="Arial" w:eastAsia="Arial" w:hAnsi="Arial"/>
          <w:color w:val="333333"/>
          <w:sz w:val="20"/>
          <w:szCs w:val="20"/>
        </w:rPr>
        <w:t xml:space="preserve">The user interface and administrative dashboard are not merely aesthetic layers but critical operational components that determine the effectiveness of human oversight, the speed of incident response, and the quality of human-AI collaboration. This section covers the full spectrum from the admin sovereignty console through the real-time trader widget.</w:t>
      </w:r>
    </w:p>
    <w:p>
      <w:pPr>
        <w:pStyle w:val="Heading2"/>
        <w:spacing w:after="140" w:before="260"/>
      </w:pPr>
      <w:r>
        <w:rPr>
          <w:rFonts w:ascii="Arial" w:cs="Arial" w:eastAsia="Arial" w:hAnsi="Arial"/>
          <w:b/>
          <w:bCs/>
          <w:color w:val="2E75B6"/>
          <w:sz w:val="25"/>
          <w:szCs w:val="25"/>
        </w:rPr>
        <w:t xml:space="preserve">11.1 Admin Dashboard (The Sovereign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real-time agent topology map using React Flow or D3.js. Visualize the Sacred Geometry agent network as an interactive graph showing all active agents, their current states (ternary logic color-coded), communication channels, and message throughput. Support drag-and-drop to re-route Bridge Builder agents to different Code Weaver agents.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MCP Tool Registry with kill-switch interface. Provide one-click revocation capability for every external integration: database access, exchange API connections, web scraping endpoints. If an agent hallucinates a destructive execution path, the admin must be able to instantly sever its access to external systems.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Prompt Laboratory. Provide side-by-side versioning for prompt templates and ternary logic threshold adjustments. Support A/B testing of different agent configurations against historical data. Implement rollback to any previous prompt version.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session replay capability. Allow administrators to visually replay any agent's complete reasoning path: initial plan, intermediate steps, tool calls, data retrieved, decisions made, and final output. This is essential for auditing, debugging, and improving autonomous workflows.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PersistentConfig model. Values saved in the database via the admin UI must take precedence over static .env files unless overridden for recovery. Implement ENABLE_PERSISTENT_CONFIG=true for live admin changes that persist across agent restarts, and RESET_CONFIG_ON_START=true as a recovery flag for unresponsive states.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real-time cost attribution dashboard. Display token counts per agent, per tool call, and per user request. Show latency percentiles, cache hit rates, and agentic cost breakdown to identify optimization opportunities.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Configuration Sidecar pattern. Use HashiCorp Vault for all secrets, with the admin UI retrieving metadata but never actual key values. Feature flags via LaunchDarkly or Redis-based toggles allow shifting between Sequential, Event-Driven, and Hierarchical agent modes without redeployment.</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guardrails and moderation rule management interface. Allow administrators to visually set explicit input and output guardrails, defining fail-safe behaviors to protect against risky autonomy, prompt injection, and data exfiltration attempts.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tool and access toggling controls. The admin must be able to toggle which MCP servers, databases, and APIs specific agents are permitted to access on a per-agent, per-session basis without code changes.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real-time Apex compliance dashboard panel. Display live metrics: current trailing threshold level, distance to breach (both absolute and percentage), today's highest equity watermark, largest single trade as % of total profit, trading day count, contract utilization vs limit, next payout eligibility date.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11.1.11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Telegram and Slack bot integration for critical notifications. Push alerts for: drawdown approaching limits, agent restarts, MCP server disconnections, Apex rule near-violations, and human approval requests. Include one-tap emergency stop from the notification.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11.2 Trader Widget and End-User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trader widget as a floating overlay on the charting interface (TradingView or custom DOM). The widget must display the system's balanced ternary logic state as a thick colored band plotted beneath the active price chart: one color for +1 (Buy/Attract), another for -1 (Sell/Repel), and a neutral color for the 0 (Epistemic Hold) state.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Add per-session signal cap indicator to the trader widget. Display when the Risk Agent suppresses Alpha Agent signals to maintain Apex 30% consistency compliance. Show small markers indicating signals detected but correctly suppressed, creating transparency between autonomous AI logic and human situational awareness.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Speed vs. Quality dial as a highly visible, intuitive slider. When set to Speed, the system routes to a single agent for immediate response. When set to Quality, it triggers a full hierarchical multi-agent swarm with notification that specialized subagents are being spawned.</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A2UI Form Elicitation pattern. When the orchestrator agent lacks parameters to proceed, it must not ask text questions but instead instantly generate and render native interactive forms (sliders, date pickers, dropdowns) directly in the interface, mapping user input to the precise structured JSON the system needs.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progressive autonomy modes. HITL mode: for sensitive actions, the system pauses and surfaces a dynamic approval card via A2UI, halting until the user clicks Approve or Modify. HOTL mode: for routine tasks, agents execute continuously with passive notification stream, and the user only intervenes via an Interrupt button.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Generative UI delivery pipeline via A2UI protocol. Instead of generating rigid Markdown text, the View Agent sends declarative JSON blueprints to the frontend, which renders native interactive components (charts, sliders, data tables) from a trusted, pre-approved catalog.</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dynamic aesthetic theming. Reflective/Awareness modes use a purple palette (#8B5CF6) with flow fields, aurora effects, and Sacred Geometry metaphors. Technical/Enterprise modes shift to a cyan palette (#06B6D4) with neural network diagrams and circuit patterns. Build using Shadcn UI customized with OKLCH color space.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real-time bidirectional streaming architecture (WebSockets or Server-Sent Events) for the UI. Abandon the request-response model. Agents must stream reasoning, tool calls, and results continuously. Users must be able to pause agent execution mid-workflow, inject approvals, and resume seamlessly.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12. HeadyCoin Cryptocurrency Architecture</w:t>
      </w:r>
    </w:p>
    <w:p>
      <w:pPr>
        <w:spacing w:after="100"/>
      </w:pPr>
      <w:r>
        <w:rPr>
          <w:rFonts w:ascii="Arial" w:cs="Arial" w:eastAsia="Arial" w:hAnsi="Arial"/>
          <w:color w:val="333333"/>
          <w:sz w:val="20"/>
          <w:szCs w:val="20"/>
        </w:rPr>
        <w:t xml:space="preserve">HeadyCoin serves as both a functional utility token and a direct proxy for the company's equity value within the Heady ecosystem. It is designed as a natively mined cryptocurrency leveraging proprietary hardware and software mechanisms to guarantee compliance and bind network value to corporate stock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Develop the HeadyCoin mining client with the reward-partitioning algorithm per patent US11270298B2. The dedicated mining circuitry commands multiple processing cores to solve cryptographic puzzles via exhaustive search. When a block is mined, the reward automatically splits between the user-provided wallet and the hardcoded corporate treasury wallet.</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protocol-level block validation that physically rejects any mined block where the reward is not properly split between the miner and the corporate treasury wallet according to the specified ratio. This ensures mathematically guaranteed value flow to the treasury.</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Wrapped Equity Token (WET) smart contract logic per the asset transfer platform patent US10693658B2. WETs legally represent fractional shares of company stock and can only be purchased using HeadyCoin from the corporate treasury reserve.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Integrate the ERC-3643 protocol for Compliance by Design tokenized securities. Embed regulatory rules directly into the WET smart contract: sender and receiver must be KYC-verified, transfers must pass sanctions screening, and holding limits must be enforced at the protocol level.</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the peer-verification ledger synthesis per patent US9830593B2. Before any node can participate in mining or transferring HeadyCoin, their public keys must be mapped to real-world identities via the LDAP directory. The ledger rejects transactions between unmapped or sanctioned addresses.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HeadyCoin treasury value tracking system. Monitor the corporate treasury's HeadyCoin balance, calculate its market value based on current HeadyCoin price, and generate reports showing the relationship between network hash power, HeadyCoin price, treasury value, and corporate equity valuation.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the complete HeadyCoin block explorer showing transaction history, mining statistics, treasury flows, WET issuance and transfers, and network health metrics.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13. Ongoing Governance, Security, and Compliance</w:t>
      </w:r>
    </w:p>
    <w:p>
      <w:pPr>
        <w:spacing w:after="100"/>
      </w:pPr>
      <w:r>
        <w:rPr>
          <w:rFonts w:ascii="Arial" w:cs="Arial" w:eastAsia="Arial" w:hAnsi="Arial"/>
          <w:color w:val="333333"/>
          <w:sz w:val="20"/>
          <w:szCs w:val="20"/>
        </w:rPr>
        <w:t xml:space="preserve">Given the immense autonomy granted to multi-agent systems that actively seek APIs, credentials, and data, security must be an immutable infrastructure layer. This section covers every ongoing security measure, regulatory compliance requirement, and governance mechanism required for continuous safe operation.</w:t>
      </w:r>
    </w:p>
    <w:p>
      <w:pPr>
        <w:pStyle w:val="Heading2"/>
        <w:spacing w:after="140" w:before="260"/>
      </w:pPr>
      <w:r>
        <w:rPr>
          <w:rFonts w:ascii="Arial" w:cs="Arial" w:eastAsia="Arial" w:hAnsi="Arial"/>
          <w:b/>
          <w:bCs/>
          <w:color w:val="2E75B6"/>
          <w:sz w:val="25"/>
          <w:szCs w:val="25"/>
        </w:rPr>
        <w:t xml:space="preserve">13.1 Agentic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Model Armor security middleware. Route every prompt passed between user and agent, and between agents themselves, through prompt injection detection and PII redaction templates. Use Sensitive Data Protection (SDP) templates to block SSNs, credit cards, API keys, and private keys from ever reaching the LLM.</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Role-Based Access Control (RBAC) with OAuth 2.0 for the MCP server layer. Each agent receives scoped, short-lived JWTs granting access only to the specific tools required by its role. Define minimum-privilege policies: Risk Agent cannot place orders, Execution Agent cannot modify risk parameters.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inter-agent TLS 1.3 encryption for all agent-to-agent communication channels. No internal communication may traverse the network in plaintext, even within the same Kubernetes cluster.</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Google Cloud IAM (or equivalent) integration with comprehensive audit logging. Every agent action, tool call, configuration change, and administrative operation must be logged to a tamper-evident audit store.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VPC Service Controls (or network segmentation) around sensitive datasets including training data, model weights, trading strategies, and customer data. Prevent data exfiltration by controlling which services can access which data stores.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Decentralized Identifiers (DIDs) for agent identity. Each agent must have a cryptographically verifiable identity that can be validated without a central authority. Use zero-knowledge proofs for capability verification to reduce deployment complexity.</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input validation middleware for all agent-facing endpoints. Validate JSON schema compliance, parameter ranges, and business logic constraints before any tool call is dispatched. Reject malformed requests with detailed error codes.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rate limiting per agent, per tool, and per user. Prevent denial-of-service conditions caused by runaway agents, misconfigured loops, or adversarial inputs. Configure burst limits and sustained throughput limits independently.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13.2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GDPR Article 22 compliance architecture. The system must possess the architectural capability to pause algorithmic execution, route contextual data to a human operator, and record the human's authorization via a non-repudiable digital signature. Maintain records of processing activities for all personal data.</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regulatory reporting infrastructure. Generate automated reports covering: trade execution records, risk management actions, HITL interventions, compliance screening results, and audit trail summaries. Support export in formats required by relevant regulatory bodies.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data retention policies. Define and enforce retention periods for: trading data (7 years minimum), personal data (as required by jurisdiction), audit logs (7 years), model training data (lifecycle of model plus 2 years), and communication logs.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data subject access request (DSAR) handling workflow. Implement capability to locate, extract, and export all data related to a specific individual in response to GDPR or CCPA requests within the mandated timeframe.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2"/>
        <w:spacing w:after="140" w:before="260"/>
      </w:pPr>
      <w:r>
        <w:rPr>
          <w:rFonts w:ascii="Arial" w:cs="Arial" w:eastAsia="Arial" w:hAnsi="Arial"/>
          <w:b/>
          <w:bCs/>
          <w:color w:val="2E75B6"/>
          <w:sz w:val="25"/>
          <w:szCs w:val="25"/>
        </w:rPr>
        <w:t xml:space="preserve">13.3 Resilience and Chaos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Chaos Engineering pipeline. Deliberately inject faults into the development environment: simulated UDP packet loss, arbitrary MCP tool definition tampering, sudden floods of high-resolution MIDI CC messages, exchange API timeouts, Redis failures, and database connection drops. Continuously test the system's ability to maintain coherent state during anomalies.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Saga Orchestration Pattern for multi-agent workflows. The MCP Server acts as the central coordinator. If a complex AI action fails midway through execution, the orchestrator issues a sequence of compensating Universal MIDI Packets to rapidly roll back the UI and trading state to the prior stable state, preserving data integrity.</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13.3.3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graceful degradation procedures. Define exactly how the system should behave when each external dependency fails: exchange API down (flatten positions and halt), Redis down (switch to local state, halt trading), MCP server down (disable affected tools, alert human), LLM API down (enter manual mode).</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automated disaster recovery procedures. Implement runbooks as code for: complete system rebuild from backup, database recovery to point-in-time, agent state reconstruction from hash chain, and credential rotation after security incident. Test monthly.</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circuit breaker thresholds for all external dependencies. If an exchange API, data provider, or MCP server fails more than N times within M minutes, automatically trip the circuit breaker, flatten positions, and alert the human operator.</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14. Commercial Deployment and Monetization</w:t>
      </w:r>
    </w:p>
    <w:p>
      <w:pPr>
        <w:spacing w:after="100"/>
      </w:pPr>
      <w:r>
        <w:rPr>
          <w:rFonts w:ascii="Arial" w:cs="Arial" w:eastAsia="Arial" w:hAnsi="Arial"/>
          <w:color w:val="333333"/>
          <w:sz w:val="20"/>
          <w:szCs w:val="20"/>
        </w:rPr>
        <w:t xml:space="preserve">This section covers the packaging and deployment of the Heady IP portfolio as commercially viable products, the HeadyCoin ecosystem launch, and the enterprise SaaS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Nuke Switch API Wrapper as the first commercial product. Create a REST/WebSocket proxy that sits in front of existing LLM agents (OpenAI, Anthropic, etc.). When the AI agent attempts to trigger an external function, the API intercepts it, encodes it onto the rtmidi bus, and fires an imap-simple alert to a designated Slack/email channel for human approval.</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Package the HITL bus, proxy encryption, and fast-signing algorithms as a Custody-as-a-Service (CaaS) SaaS platform targeting the institutional DeFi custody market currently dominated by Fireblocks and Anchorage Digital.</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the Compliance and KYC Identity Oracle API. Deploy the multi-modal key-address mapping (US9830593B2) as a service where TradFi institutions can verify if a raw blockchain address is compliant before interacting with DeFi protocols.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Package the NIDS sentinel and HITL escalation queue as a DAO Circuit Breaker plugin for smart contract integration. DAOs integrate the plugin; routine proposals pass automatically, but hostile governance takeover attempts trigger human guardian review.</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Identify and onboard the first pilot customer (a prop trading firm utilizing AI agents) for commercial validation of the HITL circuit breaker MVP in a live environment. Define success metrics, SLA terms, and pilot duration.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comprehensive API documentation, SDK packages (Python, JavaScript, Go), and integration guides for all commercial products. Publish OpenAPI specs, provide sandbox environments, and create quickstart tutorials.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usage-based billing infrastructure for the SaaS products. Track API calls, transaction volumes, agent-hours, and storage consumption. Generate invoices and integrate with Stripe or equivalent payment processing.</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Deploy the commercial products on multi-region cloud infrastructure with 99.95% uptime SLA. Implement geographic load balancing, failover between regions, and disaster recovery with RPO of 5 minutes and RTO of 30 minutes.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p>
      <w:r>
        <w:br w:type="page"/>
      </w:r>
    </w:p>
    <w:p>
      <w:pPr>
        <w:pStyle w:val="Heading1"/>
        <w:spacing w:after="180" w:before="360"/>
      </w:pPr>
      <w:r>
        <w:rPr>
          <w:rFonts w:ascii="Arial" w:cs="Arial" w:eastAsia="Arial" w:hAnsi="Arial"/>
          <w:b/>
          <w:bCs/>
          <w:color w:val="1A3C6E"/>
          <w:sz w:val="30"/>
          <w:szCs w:val="30"/>
        </w:rPr>
        <w:t xml:space="preserve">15. Operational Excellence and Daily System Operations</w:t>
      </w:r>
    </w:p>
    <w:p>
      <w:pPr>
        <w:spacing w:after="100"/>
      </w:pPr>
      <w:r>
        <w:rPr>
          <w:rFonts w:ascii="Arial" w:cs="Arial" w:eastAsia="Arial" w:hAnsi="Arial"/>
          <w:color w:val="333333"/>
          <w:sz w:val="20"/>
          <w:szCs w:val="20"/>
        </w:rPr>
        <w:t xml:space="preserve">For the ecosystem to operate optimally in a live environment, strict operational rhythms must be established that leverage the speed of the open-source primitives without sacrificing the security of the patents. This section defines every operational procedure, monitoring cadence, and maintenance task required for continuous, fault-free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Description</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Establish the MIDI/RtMidi nervous system as the core operational transport. All operational data, from standard API requests to AI agent commands, must be encoded into MIDI hexadecimal arrays. This ensures ultra-low latency routing, processing millions of background requests while only pausing for predefined human interventions.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asynchronous escalation rhythms. When the NIDS flags an anomaly, the specific transaction channel is paused on the MIDI bus, the imap-simple module routes the proxy-encrypted payload to the on-call human operator, and the rest of the business continues operating. The system must never freeze the entire network for a single escalation.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fault-tolerant state preservation using the exit-hook module across all Node.js services. If any server crashes mid-escalation, the exit-hook catches termination signals (SIGINT, SIGTERM), flushes MIDI virtual port buffers, and saves the exact state of all pending PKCS #7 signature requests to the hash chain.</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automated daily pre-market system verification. Before each trading session, run automated checks: exchange connectivity, data feed integrity, Risk Agent drawdown tracking accuracy, Execution Agent order routing latency, all MCP server health, Redis/PostgreSQL connectivity, and certificate expiration dates.</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automated post-market reconciliation. After each trading session, compare all executed trades against the hash chain audit log. Verify that every trade was properly authorized (either within automated parameters or with HITL approval). Flag any discrepancy for immediate investigation.</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automated credential rotation schedule. Database passwords, API keys, JWT signing secrets, and exchange API tokens must be automatically rotated on a configurable schedule (minimum quarterly, critical credentials monthly). The rotation must occur without service downtime.</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system capacity planning dashboard. Track resource utilization trends (CPU, memory, disk, network) across all services. Implement predictive alerts that fire when current growth trends will exhaust capacity within the next 30 days.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automated dependency update pipeline. On a weekly cadence, automatically check all dependencies for new versions. Create pull requests for patch and minor updates that pass all tests. Flag major version bumps for manual review.</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incident response automation. When a critical alert fires, automatically: capture system state (thread dumps, heap dumps, network traces), create an incident ticket, notify the on-call engineer via multiple channels, and begin preliminary diagnostics.</w:t>
            </w:r>
          </w:p>
        </w:tc>
        <w:tc>
          <w:tcPr>
            <w:tcW w:type="dxa" w:w="22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inner-loop and outer-loop adaptive control. The inner loop handles immediate high-speed UI telemetry via 64-bit UMP packets for rapid parameter tracking at the edge. The outer loop involves the Buddy AI consuming aggregated historical data via 128-bit Mixed Data Sets to send overarching parameter adjustments that dynamically tune the inner loop logic.</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Implement latency matching across all system components. Align and tightly bound differential delays using the native Jitter Reduction Timestamps in the UMP specification. Ensure components running at different speeds do not cause systemic jitter that degrades the user experience.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Build a comprehensive runbook for the market close procedure: flatten all positions, cancel pending orders, reconcile execution records, export compliance reports, verify hash chain integrity, back up databases, and generate daily performance summary.</w:t>
            </w:r>
          </w:p>
        </w:tc>
        <w:tc>
          <w:tcPr>
            <w:tcW w:type="dxa" w:w="22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ASAP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4"/>
        <w:szCs w:val="14"/>
      </w:rPr>
      <w:t xml:space="preserve">HeadyMe / HeadySystems — 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999999"/>
        <w:sz w:val="16"/>
        <w:szCs w:val="16"/>
      </w:rPr>
      <w:t xml:space="preserve">Heady Project — Exhaustive Master Task List</w:t>
    </w:r>
    <w:r>
      <w:rPr>
        <w:rFonts w:ascii="Arial" w:cs="Arial" w:eastAsia="Arial" w:hAnsi="Arial"/>
        <w:b/>
        <w:bCs/>
        <w:color w:val="C00000"/>
        <w:sz w:val="16"/>
        <w:szCs w:val="16"/>
      </w:rPr>
      <w:t xml:space="preserve">	ALL TASKS: IMPLEMENT ASAP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6E"/>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2026-02-27T20:27:15.874Z</dcterms:created>
  <dcterms:modified xsi:type="dcterms:W3CDTF">2026-02-27T20:27:15.876Z</dcterms:modified>
</cp:coreProperties>
</file>

<file path=docProps/custom.xml><?xml version="1.0" encoding="utf-8"?>
<Properties xmlns="http://schemas.openxmlformats.org/officeDocument/2006/custom-properties" xmlns:vt="http://schemas.openxmlformats.org/officeDocument/2006/docPropsVTypes"/>
</file>