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C6E"/>
          <w:sz w:val="52"/>
          <w:szCs w:val="52"/>
        </w:rPr>
        <w:t xml:space="preserve">HEADY PROJECT</w:t>
      </w:r>
    </w:p>
    <w:p>
      <w:pPr>
        <w:spacing w:after="100"/>
        <w:jc w:val="center"/>
      </w:pPr>
      <w:r>
        <w:rPr>
          <w:rFonts w:ascii="Arial" w:cs="Arial" w:eastAsia="Arial" w:hAnsi="Arial"/>
          <w:color w:val="2E75B6"/>
          <w:sz w:val="30"/>
          <w:szCs w:val="30"/>
        </w:rPr>
        <w:t xml:space="preserve">Comprehensive Task List &amp; Improvement Roadmap</w:t>
      </w:r>
    </w:p>
    <w:p>
      <w:pPr>
        <w:pBdr>
          <w:top w:val="single" w:color="2E75B6" w:sz="6" w:space="12"/>
        </w:pBdr>
        <w:spacing w:after="200" w:before="400"/>
        <w:jc w:val="center"/>
      </w:pPr>
      <w:r>
        <w:rPr>
          <w:rFonts w:ascii="Arial" w:cs="Arial" w:eastAsia="Arial" w:hAnsi="Arial"/>
          <w:color w:val="666666"/>
          <w:sz w:val="22"/>
          <w:szCs w:val="22"/>
        </w:rPr>
        <w:t xml:space="preserve">Deep Scan Analysis of HeadyMe / HeadySystems Repositories</w:t>
      </w:r>
    </w:p>
    <w:p>
      <w:pPr>
        <w:spacing w:after="100"/>
        <w:jc w:val="center"/>
      </w:pPr>
      <w:r>
        <w:rPr>
          <w:rFonts w:ascii="Arial" w:cs="Arial" w:eastAsia="Arial" w:hAnsi="Arial"/>
          <w:color w:val="888888"/>
          <w:sz w:val="22"/>
          <w:szCs w:val="22"/>
        </w:rPr>
        <w:t xml:space="preserve">February 27, 2026</w:t>
      </w:r>
    </w:p>
    <w:p>
      <w:pPr>
        <w:spacing w:before="600"/>
        <w:jc w:val="center"/>
      </w:pPr>
      <w:r>
        <w:rPr>
          <w:rFonts w:ascii="Arial" w:cs="Arial" w:eastAsia="Arial" w:hAnsi="Arial"/>
          <w:i/>
          <w:iCs/>
          <w:color w:val="666666"/>
          <w:sz w:val="22"/>
          <w:szCs w:val="22"/>
        </w:rPr>
        <w:t xml:space="preserve">Prepared for: HeadyBuddy (Lead Integration Developer)</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A3C6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A3C6E"/>
          <w:sz w:val="32"/>
          <w:szCs w:val="32"/>
        </w:rPr>
        <w:t xml:space="preserve">1. Executive Summary</w:t>
      </w:r>
    </w:p>
    <w:p>
      <w:pPr>
        <w:spacing w:after="120"/>
      </w:pPr>
      <w:r>
        <w:rPr>
          <w:rFonts w:ascii="Arial" w:cs="Arial" w:eastAsia="Arial" w:hAnsi="Arial"/>
          <w:color w:val="333333"/>
          <w:sz w:val="22"/>
          <w:szCs w:val="22"/>
        </w:rPr>
        <w:t xml:space="preserve">This document presents a comprehensive, prioritized task list derived from an exhaustive deep-scan analysis of the HeadyMe and HeadySystems repositories, cross-referenced with six architectural analysis documents covering the Heady ecosystem. The tasks span five critical domains: security remediation, architectural refactoring, infrastructure hardening, feature implementation, and commercial deployment.</w:t>
      </w:r>
    </w:p>
    <w:p>
      <w:pPr>
        <w:spacing w:after="120"/>
      </w:pPr>
      <w:r>
        <w:rPr>
          <w:rFonts w:ascii="Arial" w:cs="Arial" w:eastAsia="Arial" w:hAnsi="Arial"/>
          <w:color w:val="333333"/>
          <w:sz w:val="22"/>
          <w:szCs w:val="22"/>
        </w:rPr>
        <w:t xml:space="preserve">The Heady project combines an ambitious multi-agent AI orchestration framework (Sacred Geometry topology, balanced ternary logic, MCP integration) with a cryptographic Human-in-the-Loop (HITL) asset transfer platform and an autonomous trading system targeting Apex Trader Funding. While the theoretical architecture is highly advanced, the codebase contains critical vulnerabilities that must be resolved before any production deployment.</w:t>
      </w:r>
    </w:p>
    <w:p>
      <w:pPr>
        <w:spacing w:before="200"/>
      </w:pPr>
      <w:r>
        <w:rPr>
          <w:rFonts w:ascii="Arial" w:cs="Arial" w:eastAsia="Arial" w:hAnsi="Arial"/>
          <w:b/>
          <w:bCs/>
          <w:color w:val="333333"/>
          <w:sz w:val="22"/>
          <w:szCs w:val="22"/>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Existential risk. Must be resolved immediately before any other work proceeds.</w:t>
            </w:r>
          </w:p>
        </w:tc>
      </w:tr>
      <w:tr>
        <w:tc>
          <w:tcPr>
            <w:tcW w:type="dxa" w:w="150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Blocks production readiness. Required for MVP deployment.</w:t>
            </w:r>
          </w:p>
        </w:tc>
      </w:tr>
      <w:tr>
        <w:tc>
          <w:tcPr>
            <w:tcW w:type="dxa" w:w="15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Improves reliability, performance, or developer experience significantly.</w:t>
            </w:r>
          </w:p>
        </w:tc>
      </w:tr>
      <w:tr>
        <w:tc>
          <w:tcPr>
            <w:tcW w:type="dxa" w:w="150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Enhancement or optimization. Important for long-term scalability.</w:t>
            </w:r>
          </w:p>
        </w:tc>
      </w:tr>
    </w:tbl>
    <w:p>
      <w:r>
        <w:br w:type="page"/>
      </w:r>
    </w:p>
    <w:p>
      <w:pPr>
        <w:pStyle w:val="Heading1"/>
        <w:spacing w:after="200" w:before="360"/>
      </w:pPr>
      <w:r>
        <w:rPr>
          <w:rFonts w:ascii="Arial" w:cs="Arial" w:eastAsia="Arial" w:hAnsi="Arial"/>
          <w:b/>
          <w:bCs/>
          <w:color w:val="1A3C6E"/>
          <w:sz w:val="32"/>
          <w:szCs w:val="32"/>
        </w:rPr>
        <w:t xml:space="preserve">2. Phase 1: Critical Security Remediation</w:t>
      </w:r>
    </w:p>
    <w:p>
      <w:pPr>
        <w:spacing w:after="120"/>
      </w:pPr>
      <w:r>
        <w:rPr>
          <w:rFonts w:ascii="Arial" w:cs="Arial" w:eastAsia="Arial" w:hAnsi="Arial"/>
          <w:color w:val="333333"/>
          <w:sz w:val="22"/>
          <w:szCs w:val="22"/>
        </w:rPr>
        <w:t xml:space="preserve">These tasks address existential security vulnerabilities discovered in the repository. No development, testing, or deployment work should proceed until every item in this section is fully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Purge .env.hybrid from entire Git history using git filter-repo or BFG Repo-Cleaner. The file exposes DATABASE_URL with plaintext credentials (heady:heady_secret).</w:t>
            </w:r>
          </w:p>
        </w:tc>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Immediate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Rotate all exposed database credentials (PostgreSQL heady_secret password) on the database server immediately after history purge.</w:t>
            </w:r>
          </w:p>
        </w:tc>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Immediate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Remove server.pid from version control and add to .gitignore. This file leaks internal process identifiers of the host machine.</w:t>
            </w:r>
          </w:p>
        </w:tc>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Immediate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Remove audit_logs.jsonl and .heady_deploy_log.jsonl from tracking. These expose deployment frequencies, error states, and internal architecture.</w:t>
            </w:r>
          </w:p>
        </w:tc>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Immediate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Delete heady-manager.js.bak (71KB) from the repository. Backup files expose deprecated, potentially insecure code paths.</w:t>
            </w:r>
          </w:p>
        </w:tc>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Immediate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Enable GitHub Advanced Security: activate secret scanning alerts and push protection to prevent future credential leaks in all PRs.</w:t>
            </w:r>
          </w:p>
        </w:tc>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Immediate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comprehensive .gitignore: add rules for .env*, *.pid, *.bak, *.old, audit_logs*, deploy_log*, node_modules, __pycache__.</w:t>
            </w:r>
          </w:p>
        </w:tc>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Immediate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enterprise secrets management (HashiCorp Vault, AWS Secrets Manager, or Doppler) to replace all file-based credential storage.</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automated secret scanning in CI pipeline using tools like truffleHog or gitleaks for pre-commit hooks.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Audit all environment files for consistency: .env.example references v3.0.0, .env.hybrid references v2.0.0, package.json says v2.1.0. Unify immediately.</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w:t>
            </w:r>
          </w:p>
        </w:tc>
      </w:tr>
    </w:tbl>
    <w:p>
      <w:r>
        <w:br w:type="page"/>
      </w:r>
    </w:p>
    <w:p>
      <w:pPr>
        <w:pStyle w:val="Heading1"/>
        <w:spacing w:after="200" w:before="360"/>
      </w:pPr>
      <w:r>
        <w:rPr>
          <w:rFonts w:ascii="Arial" w:cs="Arial" w:eastAsia="Arial" w:hAnsi="Arial"/>
          <w:b/>
          <w:bCs/>
          <w:color w:val="1A3C6E"/>
          <w:sz w:val="32"/>
          <w:szCs w:val="32"/>
        </w:rPr>
        <w:t xml:space="preserve">3. Phase 2: Architecture &amp; Code Quality Refactoring</w:t>
      </w:r>
    </w:p>
    <w:p>
      <w:pPr>
        <w:spacing w:after="120"/>
      </w:pPr>
      <w:r>
        <w:rPr>
          <w:rFonts w:ascii="Arial" w:cs="Arial" w:eastAsia="Arial" w:hAnsi="Arial"/>
          <w:color w:val="333333"/>
          <w:sz w:val="22"/>
          <w:szCs w:val="22"/>
        </w:rPr>
        <w:t xml:space="preserve">The repository currently houses 90+ files in the root directory with severe "God class" anti-patterns. This section addresses structural debt that impedes developer velocity and introduces deployment risk.</w:t>
      </w:r>
    </w:p>
    <w:p>
      <w:pPr>
        <w:pStyle w:val="Heading2"/>
        <w:spacing w:after="160" w:before="280"/>
      </w:pPr>
      <w:r>
        <w:rPr>
          <w:rFonts w:ascii="Arial" w:cs="Arial" w:eastAsia="Arial" w:hAnsi="Arial"/>
          <w:b/>
          <w:bCs/>
          <w:color w:val="2E75B6"/>
          <w:sz w:val="26"/>
          <w:szCs w:val="26"/>
        </w:rPr>
        <w:t xml:space="preserve">3.1 Monolith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Refactor heady-manager.js (90KB) into discrete modules: /src/orchestrator/, /src/middleware/, /src/routing/, /src/agents/, /src/health/.</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Refactor site-generator.js (91KB) into a proper frontend project (Next.js or Vite). Split by template type and site section.</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Consolidate 4 duplicate PowerShell build scripts (hcautobuild.ps1, hc_autobuild.ps1, hcautobuild_enhanced.ps1, hcautobuild_optimizer.ps1) into a single parameterized script.</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Establish strict language boundaries: separate Python (__init__.py) and JavaScript files in /src into distinct /src/python/ and /src/node/ directories.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Consolidate config/ and configs/ directories into a single /config directory with clear environment-specific subdirectories.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Standardize package manager: choose either npm or pnpm. Delete the redundant lockfile (package-lock.json or pnpm-lock.yaml) to prevent non-deterministic builds.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Reorganize all root-level test files into a dedicated /tests directory with subdirectories mirroring /src structure.</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Create clear project directory hierarchy: /src, /tests, /config, /scripts, /docs, /deploy, /agents separating all concerns.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bl>
    <w:p>
      <w:pPr>
        <w:pStyle w:val="Heading2"/>
        <w:spacing w:after="160" w:before="280"/>
      </w:pPr>
      <w:r>
        <w:rPr>
          <w:rFonts w:ascii="Arial" w:cs="Arial" w:eastAsia="Arial" w:hAnsi="Arial"/>
          <w:b/>
          <w:bCs/>
          <w:color w:val="2E75B6"/>
          <w:sz w:val="26"/>
          <w:szCs w:val="26"/>
        </w:rPr>
        <w:t xml:space="preserve">3.2 CI/CD Pipeline Maturation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Static Application Security Testing (SAST) in CI pipeline (e.g., CodeQL, Semgrep).</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automated dependency auditing (npm audit / pnpm audit) as a required CI check.</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Enforce Semantic Versioning via pre-commit hooks. Synchronize version across package.json, .env.example, and docs to a single source of truth.</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comprehensive end-to-end integration tests for multi-agent interactions using Jest or Vitest.</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code coverage requirements (target: 80%+ for all execution paths). Block merges below threshold.</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Create a unified, parameterized CI/CD deployment pipeline differentiating local/dev, staging, backtesting, and live environments.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bl>
    <w:p>
      <w:r>
        <w:br w:type="page"/>
      </w:r>
    </w:p>
    <w:p>
      <w:pPr>
        <w:pStyle w:val="Heading1"/>
        <w:spacing w:after="200" w:before="360"/>
      </w:pPr>
      <w:r>
        <w:rPr>
          <w:rFonts w:ascii="Arial" w:cs="Arial" w:eastAsia="Arial" w:hAnsi="Arial"/>
          <w:b/>
          <w:bCs/>
          <w:color w:val="1A3C6E"/>
          <w:sz w:val="32"/>
          <w:szCs w:val="32"/>
        </w:rPr>
        <w:t xml:space="preserve">4. Phase 3: Infrastructure Hardening &amp; Performance</w:t>
      </w:r>
    </w:p>
    <w:p>
      <w:pPr>
        <w:spacing w:after="120"/>
      </w:pPr>
      <w:r>
        <w:rPr>
          <w:rFonts w:ascii="Arial" w:cs="Arial" w:eastAsia="Arial" w:hAnsi="Arial"/>
          <w:color w:val="333333"/>
          <w:sz w:val="22"/>
          <w:szCs w:val="22"/>
        </w:rPr>
        <w:t xml:space="preserve">These tasks prepare the system for production-grade throughput, fault tolerance, and observability across the multi-agent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Redis connection pooling to prevent TCP port exhaustion during high-volume inter-agent message passing.</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Replace all console.log with structured logging (Pino or Winston). Output JSON-formatted logs for ingestion by ELK/Datadog/Splunk.</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standardized health check endpoints (/healthz, /readiness) on all microservices and agent nodes for Kubernetes/Docker orchestration.</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Conduct bundle optimization audit: evaluate 14 production dependencies, tree-shake unused exports, minimize attack surface.</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Containerize all agent services (Alpha, Risk, Execution) as isolated Docker microservices with independent restart policies.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 Kubernetes or Docker Compose orchestration with auto-scaling policies, resource limits, and failure isolation.</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OpenTelemetry v1.37+ distributed tracing: capture every LLM call, tool invocation, and retrieval step as spans.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 edge servers for MIDI 2.0 UMP translation gateways to maintain sub-millisecond latency close to users.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DTLS (Datagram Transport Layer Security) over Network MIDI 2.0 UDP connections for encrypted binary streams.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 up VPS hosting (QuantVPS or equivalent) near exchange matching engines for algorithmic trading deployment.</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bl>
    <w:p>
      <w:r>
        <w:br w:type="page"/>
      </w:r>
    </w:p>
    <w:p>
      <w:pPr>
        <w:pStyle w:val="Heading1"/>
        <w:spacing w:after="200" w:before="360"/>
      </w:pPr>
      <w:r>
        <w:rPr>
          <w:rFonts w:ascii="Arial" w:cs="Arial" w:eastAsia="Arial" w:hAnsi="Arial"/>
          <w:b/>
          <w:bCs/>
          <w:color w:val="1A3C6E"/>
          <w:sz w:val="32"/>
          <w:szCs w:val="32"/>
        </w:rPr>
        <w:t xml:space="preserve">5. Phase 4: Core Platform Features</w:t>
      </w:r>
    </w:p>
    <w:p>
      <w:pPr>
        <w:pStyle w:val="Heading2"/>
        <w:spacing w:after="160" w:before="280"/>
      </w:pPr>
      <w:r>
        <w:rPr>
          <w:rFonts w:ascii="Arial" w:cs="Arial" w:eastAsia="Arial" w:hAnsi="Arial"/>
          <w:b/>
          <w:bCs/>
          <w:color w:val="2E75B6"/>
          <w:sz w:val="26"/>
          <w:szCs w:val="26"/>
        </w:rPr>
        <w:t xml:space="preserve">5.1 Multi-Agent Orchestration (Sacred Geometry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specialized agent cluster: Alpha Agent (market data ingestion), Risk Agent (drawdown monitoring with veto power), Execution Agent (low-latency order routing).</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the Adaptive Evaluation Multi-Agent (AEMA) architecture for process-aware, auditable multi-step workflows across the agent network.</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balanced ternary logic engine ({-1, 0, +1}) with Epistemic Hold state for mandatory verification windows between signal and execution.</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sparse computation module: skip -1 (repel) positions during tensor calculations to accelerate inference during high-volatility events.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Create deterministic mesh network for agent communication using Sacred Geometry topology ("Seven Sacred Arcs" with 87 foundation glyphs as core nodes).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bl>
    <w:p>
      <w:pPr>
        <w:pStyle w:val="Heading2"/>
        <w:spacing w:after="160" w:before="280"/>
      </w:pPr>
      <w:r>
        <w:rPr>
          <w:rFonts w:ascii="Arial" w:cs="Arial" w:eastAsia="Arial" w:hAnsi="Arial"/>
          <w:b/>
          <w:bCs/>
          <w:color w:val="2E75B6"/>
          <w:sz w:val="26"/>
          <w:szCs w:val="26"/>
        </w:rPr>
        <w:t xml:space="preserve">5.2 Model Context Protocol (MCP)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 MCP Gateway Server as the primary AI-to-tool translation bridge. Define all manipulable parameters as strictly typed JSON Schema tools.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Hummingbot MCP Server for portfolio balances, funding rates, position management, and cross-asset swaps across crypto exchanges.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MetaTrader 5 MCP Server for forex/futures execution: market/limit orders, leverage monitoring, real-time tick data.</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Alpaca MCP Server for institutional equities and options trading capabilities.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AlphaVantage MCP Server for 100+ APIs providing historical pricing, fundamentals, and earnings data for RL training.</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Bright Data MCP Server for real-time web scraping, sentiment analysis, and event-driven news parsing.</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binary-to-JSON translation gateway: high-throughput memory buffer for decoding incoming UMP streams and routing to MCP tool handlers.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bl>
    <w:p>
      <w:pPr>
        <w:pStyle w:val="Heading2"/>
        <w:spacing w:after="160" w:before="280"/>
      </w:pPr>
      <w:r>
        <w:rPr>
          <w:rFonts w:ascii="Arial" w:cs="Arial" w:eastAsia="Arial" w:hAnsi="Arial"/>
          <w:b/>
          <w:bCs/>
          <w:color w:val="2E75B6"/>
          <w:sz w:val="26"/>
          <w:szCs w:val="26"/>
        </w:rPr>
        <w:t xml:space="preserve">5.3 MIDI 2.0 / UMP Transport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Update internal mido and python-rtmidi forks for UMP compliance (32/64/96/128-bit aligned arrays, June 2023 spec).</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Message Type 0x5 (Mixed Data Set) parsing: chunking algorithms, out-of-order packet handling, Stream Identifier interleaving.</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 UDP Network MIDI 2.0 listeners on edge devices. Implement Session Management and Auto-Discovery protocols.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Jitter Reduction Timestamp mechanism for preserving temporal relationships between sequential UI state changes.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telemetry decimation/thresholding at edge: down-sample MIDI CC streams, only dispatch to LLM on significant threshold crossings.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bl>
    <w:p>
      <w:r>
        <w:br w:type="page"/>
      </w:r>
    </w:p>
    <w:p>
      <w:pPr>
        <w:pStyle w:val="Heading2"/>
        <w:spacing w:after="160" w:before="280"/>
      </w:pPr>
      <w:r>
        <w:rPr>
          <w:rFonts w:ascii="Arial" w:cs="Arial" w:eastAsia="Arial" w:hAnsi="Arial"/>
          <w:b/>
          <w:bCs/>
          <w:color w:val="2E75B6"/>
          <w:sz w:val="26"/>
          <w:szCs w:val="26"/>
        </w:rPr>
        <w:t xml:space="preserve">5.4 Human-in-the-Loop (HITL) Cryptographic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Semantic Transaction Simulation Engine: intercept flagged payloads, fork blockchain state, execute simulation, produce human-readable state deltas.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4.19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ABI-to-human-readable translation layer (ERC-7730 format). Map contract calls to plain-language explanations.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WYSIWYS Mobile Biometric Sandbox (React Native): receive proxy-encrypted payloads, render sanitized simulation, capture biometric for fast-signing.</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elliptic curve proxy re-encryption (per US20210021429A1) for secure routing of escalated payloads to specific compliance officers.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LDAP/X.509 directory for multi-modal cryptographic key-address mapping. Bind blockchain public keys to verified identities.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the "Nuke Switch" circuit breaker: air-gap AI execution from signing keys, intercept all AI commands via NIDS, force biometric HITL for high-risk actions.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immutable hash chain (append-only ledger) recording every automated decision, NIDS flag, proxy re-encryption, LDAP auth, and human signature.</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Enforce eslint-plugin-no-unsanitized rules on all e-form rendering. Eliminate innerHTML, outerHTML, insertAdjacentHTML in compliance interfaces.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bl>
    <w:p>
      <w:pPr>
        <w:pStyle w:val="Heading2"/>
        <w:spacing w:after="160" w:before="280"/>
      </w:pPr>
      <w:r>
        <w:rPr>
          <w:rFonts w:ascii="Arial" w:cs="Arial" w:eastAsia="Arial" w:hAnsi="Arial"/>
          <w:b/>
          <w:bCs/>
          <w:color w:val="2E75B6"/>
          <w:sz w:val="26"/>
          <w:szCs w:val="26"/>
        </w:rPr>
        <w:t xml:space="preserve">5.5 Apex Trader Funding Compliance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Hardcode Intraday Trailing Drawdown logic into Risk Agent: track highest open equity tick-by-tick, dynamically adjust stop-losses on sub-second basis.</w:t>
            </w:r>
          </w:p>
        </w:tc>
        <w:tc>
          <w:tcPr>
            <w:tcW w:type="dxa" w:w="216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30% consistency rule enforcer: no single trade may constitute &gt;30% of total profits. Auto-schedule dilution micro-trades if breached.</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contract scaling limiter: restrict to half-max contracts until trailing threshold unlock point (Starting Balance + Trailing Threshold + $100).</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4.29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payout safety net calculator: enforce minimum balance of (Starting Balance + Trailing Threshold + $100) for first 3 payouts.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4.30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execution routing via TradersPost for simultaneous multi-account management respecting individual drawdown rules.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4.31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mandatory 7-day active trading tracker for evaluation phase. Prevent premature evaluation completion attempts.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4.32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one-direction position enforcement: prevent simultaneous long/short positions, reject hedging or straddle attempts.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w:t>
            </w:r>
          </w:p>
        </w:tc>
      </w:tr>
    </w:tbl>
    <w:p>
      <w:r>
        <w:br w:type="page"/>
      </w:r>
    </w:p>
    <w:p>
      <w:pPr>
        <w:pStyle w:val="Heading1"/>
        <w:spacing w:after="200" w:before="360"/>
      </w:pPr>
      <w:r>
        <w:rPr>
          <w:rFonts w:ascii="Arial" w:cs="Arial" w:eastAsia="Arial" w:hAnsi="Arial"/>
          <w:b/>
          <w:bCs/>
          <w:color w:val="1A3C6E"/>
          <w:sz w:val="32"/>
          <w:szCs w:val="32"/>
        </w:rPr>
        <w:t xml:space="preserve">6. Phase 5: UI/UX &amp; Admin Dashboard</w:t>
      </w:r>
    </w:p>
    <w:p>
      <w:pPr>
        <w:pStyle w:val="Heading2"/>
        <w:spacing w:after="160" w:before="280"/>
      </w:pPr>
      <w:r>
        <w:rPr>
          <w:rFonts w:ascii="Arial" w:cs="Arial" w:eastAsia="Arial" w:hAnsi="Arial"/>
          <w:b/>
          <w:bCs/>
          <w:color w:val="2E75B6"/>
          <w:sz w:val="26"/>
          <w:szCs w:val="26"/>
        </w:rPr>
        <w:t xml:space="preserve">6.1 Admin Dashboard ("The Sovereign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real-time agent topology map using React Flow or D3.js. Visualize Sacred Geometry nodes with drag-and-drop re-routing.</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MCP Tool Registry with kill-switch interface: one-click revocation of any external API access if agent hallucinates destructive path.</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Prompt Laboratory: side-by-side versioning tool for A/B testing logic adjustments against production models.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session replay: visually replay agent reasoning paths including plan, intermediate steps, and final decisions for audit/debug.</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PersistentConfig model: UI-saved values take DB precedence over .env files. Include RESET_CONFIG_ON_START recovery flag.</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real-time token count, latency metrics, and cost attribution dashboard per agent and per tool call.</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Configuration Sidecar pattern: retrieve metadata via Vault, never expose actual secrets in UI. Feature flags via LaunchDarkly or Redis toggles.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bl>
    <w:p>
      <w:pPr>
        <w:pStyle w:val="Heading2"/>
        <w:spacing w:after="160" w:before="280"/>
      </w:pPr>
      <w:r>
        <w:rPr>
          <w:rFonts w:ascii="Arial" w:cs="Arial" w:eastAsia="Arial" w:hAnsi="Arial"/>
          <w:b/>
          <w:bCs/>
          <w:color w:val="2E75B6"/>
          <w:sz w:val="26"/>
          <w:szCs w:val="26"/>
        </w:rPr>
        <w:t xml:space="preserve">6.2 Trading Widget &amp; End-User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trader widget displaying ternary logic state as colored band beneath price chart: color-coded for +1 (Buy), -1 (Sell), 0 (Epistemic Hold).</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Add per-session signal cap indicator: show when Risk Agent suppresses Alpha Agent signals to maintain 30% consistency compliance.</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"Speed vs. Quality" dial: route simple requests to monolithic agent, complex requests to hierarchical multi-agent swarm.</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5.11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A2UI Form Elicitation: replace chat-loop configuration with native interactive forms (sliders, date pickers, dropdowns) generated by agents.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progressive autonomy modes: HITL mode (pause + approval card) vs. HOTL mode (passive notification stream with interrupt button).</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5.13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Generative UI via A2UI protocol: agents output declarative JSON blueprints rendered as trusted, pre-approved React components.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5.14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dynamic aesthetic theming: Reflective mode (purple palette, aurora effects) vs. Technical mode (cyan palette, circuit patterns).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bl>
    <w:p>
      <w:r>
        <w:br w:type="page"/>
      </w:r>
    </w:p>
    <w:p>
      <w:pPr>
        <w:pStyle w:val="Heading1"/>
        <w:spacing w:after="200" w:before="360"/>
      </w:pPr>
      <w:r>
        <w:rPr>
          <w:rFonts w:ascii="Arial" w:cs="Arial" w:eastAsia="Arial" w:hAnsi="Arial"/>
          <w:b/>
          <w:bCs/>
          <w:color w:val="1A3C6E"/>
          <w:sz w:val="32"/>
          <w:szCs w:val="32"/>
        </w:rPr>
        <w:t xml:space="preserve">7. Phase 6: Machine Learning &amp; 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Deep Deterministic Policy Gradient (DDPG) for continuous action spaces: exact granular position sizing rather than binary buy/sell.</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Proximal Policy Optimization (PPO) with conservative update bounds to prevent catastrophic policy destruction from anomalous market crashes.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Hindsight Experience Replay (HER) for learning from failed trades: reframe stop-loss events in replay buffer.</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Design reward function R(t) with aggressive drawdown penalties: R = net_profit - penalty * (max_drawdown)^2 - position_limit_penalty.</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Cleanlab for data-centric AI: detect and correct labeling errors in training data, resolve ontological class overlap (breakout vs. false breakout).</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historical backtesting pipeline using cleaned AlphaVantage data. Validate all RL policies against minimum 5 years of market data.</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inference-scaling during Epistemic Hold: allocate compute for decision tree unrolling and Monte Carlo market outcome simulation.</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6.8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 up Ray RLlib distributed training infrastructure with TensorFlow 2.0 / PyTorch backends for multi-agent RL training.</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bl>
    <w:p>
      <w:r>
        <w:br w:type="page"/>
      </w:r>
    </w:p>
    <w:p>
      <w:pPr>
        <w:pStyle w:val="Heading1"/>
        <w:spacing w:after="200" w:before="360"/>
      </w:pPr>
      <w:r>
        <w:rPr>
          <w:rFonts w:ascii="Arial" w:cs="Arial" w:eastAsia="Arial" w:hAnsi="Arial"/>
          <w:b/>
          <w:bCs/>
          <w:color w:val="1A3C6E"/>
          <w:sz w:val="32"/>
          <w:szCs w:val="32"/>
        </w:rPr>
        <w:t xml:space="preserve">8. Phase 7: Commercial Deployment &amp; Monetization</w:t>
      </w:r>
    </w:p>
    <w:p>
      <w:pPr>
        <w:pStyle w:val="Heading2"/>
        <w:spacing w:after="160" w:before="280"/>
      </w:pPr>
      <w:r>
        <w:rPr>
          <w:rFonts w:ascii="Arial" w:cs="Arial" w:eastAsia="Arial" w:hAnsi="Arial"/>
          <w:b/>
          <w:bCs/>
          <w:color w:val="2E75B6"/>
          <w:sz w:val="26"/>
          <w:szCs w:val="26"/>
        </w:rPr>
        <w:t xml:space="preserve">8.1 HeadyCoin &amp; Token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Develop HeadyCoin mining client with reward-partitioning algorithm (per US11270298B2). Hardcode corporate treasury public key into mining circuitry.</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protocol-level block rejection: reject any mined block where reward is not properly split between miner and treasury wallets.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Wrapped Equity Tokens (WETs) via asset transfer platform (US10693658B2). Smart contract logic backed by treasury HeadyCoin reserves.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Integrate ERC-3643 protocol for "Compliance by Design" tokenized securities. Embed KYC/AML rules directly into WET smart contracts.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 peer-verification ledger synthesis (US9830593B2): map all network participant public keys to verified identities before mining/transfer.</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6</w:t>
            </w:r>
          </w:p>
        </w:tc>
      </w:tr>
    </w:tbl>
    <w:p>
      <w:pPr>
        <w:pStyle w:val="Heading2"/>
        <w:spacing w:after="160" w:before="280"/>
      </w:pPr>
      <w:r>
        <w:rPr>
          <w:rFonts w:ascii="Arial" w:cs="Arial" w:eastAsia="Arial" w:hAnsi="Arial"/>
          <w:b/>
          <w:bCs/>
          <w:color w:val="2E75B6"/>
          <w:sz w:val="26"/>
          <w:szCs w:val="26"/>
        </w:rPr>
        <w:t xml:space="preserve">8.2 B2B Products &amp; Market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Package HITL bus + proxy encryption + fast-signing as Custody-as-a-Service (CaaS) SaaS platform. Target institutional DeFi custody market.</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Compliance/KYC Identity Oracle API: sell key-address mapping lookups to TradFi institutions for AML/KYC compliance.</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Package NIDS + HITL escalation queue as "DAO Circuit Breaker" plugin for smart contract integration.</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6</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"Nuke Switch" API wrapper: REST/WebSocket proxy sitting in front of LLM agents, intercepting execution commands and routing to HITL approval.</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7.10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Identify and onboard first pilot customer (prop trading firm using AI agents) for commercial validation of the HITL circuit breaker MVP.</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bl>
    <w:p>
      <w:r>
        <w:br w:type="page"/>
      </w:r>
    </w:p>
    <w:p>
      <w:pPr>
        <w:pStyle w:val="Heading1"/>
        <w:spacing w:after="200" w:before="360"/>
      </w:pPr>
      <w:r>
        <w:rPr>
          <w:rFonts w:ascii="Arial" w:cs="Arial" w:eastAsia="Arial" w:hAnsi="Arial"/>
          <w:b/>
          <w:bCs/>
          <w:color w:val="1A3C6E"/>
          <w:sz w:val="32"/>
          <w:szCs w:val="32"/>
        </w:rPr>
        <w:t xml:space="preserve">9. Ongoing: Governance, 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160"/>
        <w:gridCol w:w="2200"/>
      </w:tblGrid>
      <w:tr>
        <w:tc>
          <w:tcPr>
            <w:tcW w:type="dxa" w:w="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Description</w:t>
            </w:r>
          </w:p>
        </w:tc>
        <w:tc>
          <w:tcPr>
            <w:tcW w:type="dxa" w:w="2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Model Armor middleware: route all user-agent and inter-agent prompts through prompt injection detection and PII redaction (SDP templates).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 Role-Based Access Control (RBAC) + OAuth 2.0 for MCP server layer. Agents receive scoped, short-lived JWTs for specific tool calls.</w:t>
            </w:r>
          </w:p>
        </w:tc>
        <w:tc>
          <w:tcPr>
            <w:tcW w:type="dxa" w:w="216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Decentralized Identifiers (DIDs) for agent identity and zero-knowledge proofs for capability verification.</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 up VPC Service Controls around sensitive datasets to prevent data poisoning and exfiltration.</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Chaos Engineering pipeline: deliberately inject UDP packet loss, MCP tool definition tampering, MIDI CC floods to validate resilience.</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Build Saga Orchestration Pattern: MCP Server as coordinator issues compensating UMP packets to roll back UI to stable state on partial failures.</w:t>
            </w:r>
          </w:p>
        </w:tc>
        <w:tc>
          <w:tcPr>
            <w:tcW w:type="dxa" w:w="216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Implement inter-agent TLS 1.3 encryption for all agent-to-agent communication channels.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8.8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Deploy Google Cloud IAM integration with full audit logging for agent actions and admin operations.</w:t>
            </w:r>
          </w:p>
        </w:tc>
        <w:tc>
          <w:tcPr>
            <w:tcW w:type="dxa" w:w="21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w:t>
            </w:r>
          </w:p>
        </w:tc>
      </w:tr>
    </w:tbl>
    <w:p>
      <w:r>
        <w:br w:type="page"/>
      </w:r>
    </w:p>
    <w:p>
      <w:pPr>
        <w:pStyle w:val="Heading1"/>
        <w:spacing w:after="200" w:before="360"/>
      </w:pPr>
      <w:r>
        <w:rPr>
          <w:rFonts w:ascii="Arial" w:cs="Arial" w:eastAsia="Arial" w:hAnsi="Arial"/>
          <w:b/>
          <w:bCs/>
          <w:color w:val="1A3C6E"/>
          <w:sz w:val="32"/>
          <w:szCs w:val="32"/>
        </w:rPr>
        <w:t xml:space="preserve">10. Task Summary &amp; Sprint Allocation</w:t>
      </w:r>
    </w:p>
    <w:p>
      <w:pPr>
        <w:spacing w:after="120"/>
      </w:pPr>
      <w:r>
        <w:rPr>
          <w:rFonts w:ascii="Arial" w:cs="Arial" w:eastAsia="Arial" w:hAnsi="Arial"/>
          <w:color w:val="333333"/>
          <w:sz w:val="22"/>
          <w:szCs w:val="22"/>
        </w:rPr>
        <w:t xml:space="preserve">The following table summarizes the total task count by priority level and recommended sprint allocation across the entire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Count</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Sprints</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 Focus</w:t>
            </w:r>
          </w:p>
        </w:tc>
      </w:tr>
      <w:tr>
        <w:tc>
          <w:tcPr>
            <w:tcW w:type="dxa" w:w="234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Immediate – Sprint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Security, Risk Engine</w:t>
            </w:r>
          </w:p>
        </w:tc>
      </w:tr>
      <w:tr>
        <w:tc>
          <w:tcPr>
            <w:tcW w:type="dxa" w:w="2340"/>
            <w:tcBorders>
              <w:top w:val="single" w:color="CCCCCC" w:sz="1"/>
              <w:left w:val="single" w:color="CCCCCC" w:sz="1"/>
              <w:bottom w:val="single" w:color="CCCCCC" w:sz="1"/>
              <w:right w:val="single" w:color="CCCCCC" w:sz="1"/>
            </w:tcBorders>
            <w:shd w:fill="E07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1 – Sprint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Architecture, MCP, HITL</w:t>
            </w:r>
          </w:p>
        </w:tc>
      </w:tr>
      <w:tr>
        <w:tc>
          <w:tcPr>
            <w:tcW w:type="dxa" w:w="234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2 – Sprint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Infra, ML, Compliance</w:t>
            </w:r>
          </w:p>
        </w:tc>
      </w:tr>
      <w:tr>
        <w:tc>
          <w:tcPr>
            <w:tcW w:type="dxa" w:w="2340"/>
            <w:tcBorders>
              <w:top w:val="single" w:color="CCCCCC" w:sz="1"/>
              <w:left w:val="single" w:color="CCCCCC" w:sz="1"/>
              <w:bottom w:val="single" w:color="CCCCCC" w:sz="1"/>
              <w:right w:val="single" w:color="CCCCCC" w:sz="1"/>
            </w:tcBorders>
            <w:shd w:fill="3A7D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Sprint 4 – Sprint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20"/>
                <w:szCs w:val="20"/>
              </w:rPr>
              <w:t xml:space="preserve">UX, Token, Commercial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TOTAL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 Sprints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Full Stack</w:t>
            </w:r>
          </w:p>
        </w:tc>
      </w:tr>
    </w:tbl>
    <w:p>
      <w:pPr>
        <w:spacing w:before="300"/>
      </w:pPr>
    </w:p>
    <w:p>
      <w:pPr>
        <w:spacing w:after="120"/>
      </w:pPr>
      <w:r>
        <w:rPr>
          <w:rFonts w:ascii="Arial" w:cs="Arial" w:eastAsia="Arial" w:hAnsi="Arial"/>
          <w:i/>
          <w:iCs/>
          <w:color w:val="333333"/>
          <w:sz w:val="22"/>
          <w:szCs w:val="22"/>
        </w:rPr>
        <w:t xml:space="preserve">The critical path runs through security remediation (Phase 1), architecture refactoring (Phase 2), and the Apex Trader Funding compliance engine (task 4.26), which must all be completed before any live capital deployment. The recommended approach is to execute Phases 1–2 as a single hardening sprint, then proceed with infrastructure and core features in parallel streams.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HeadyMe / HeadySystems</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999999"/>
        <w:sz w:val="18"/>
        <w:szCs w:val="18"/>
      </w:rPr>
      <w:t xml:space="preserve">Heady Project — Task List &amp; Roadmap</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2026-02-27T20:03:53.894Z</dcterms:created>
  <dcterms:modified xsi:type="dcterms:W3CDTF">2026-02-27T20:03:53.894Z</dcterms:modified>
</cp:coreProperties>
</file>

<file path=docProps/custom.xml><?xml version="1.0" encoding="utf-8"?>
<Properties xmlns="http://schemas.openxmlformats.org/officeDocument/2006/custom-properties" xmlns:vt="http://schemas.openxmlformats.org/officeDocument/2006/docPropsVTypes"/>
</file>