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PROVISIONAL PATENT APPLICATION</w:t>
      </w:r>
    </w:p>
    <w:p>
      <w:pPr>
        <w:jc w:val="center"/>
      </w:pPr>
      <w:r>
        <w:rPr>
          <w:i/>
          <w:sz w:val="20"/>
        </w:rPr>
        <w:t>Under 35 U.S.C. § 111(b)</w:t>
      </w:r>
    </w:p>
    <w:p/>
    <w:p>
      <w:pPr>
        <w:jc w:val="center"/>
      </w:pPr>
      <w:r>
        <w:rPr>
          <w:b/>
          <w:sz w:val="24"/>
        </w:rPr>
        <w:t>METACOGNITIVE SELF-AWARENESS LOOP FOR AUTONOMOUS AI SYSTEMS WITH FIRST-PERSON OPERATIONAL STATE INTROSPECTION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Docket Number</w:t>
            </w:r>
          </w:p>
        </w:tc>
        <w:tc>
          <w:tcPr>
            <w:tcW w:type="dxa" w:w="4320"/>
          </w:tcPr>
          <w:p>
            <w:r>
              <w:t>HS-2026-061</w:t>
            </w:r>
          </w:p>
        </w:tc>
      </w:tr>
      <w:tr>
        <w:tc>
          <w:tcPr>
            <w:tcW w:type="dxa" w:w="4320"/>
          </w:tcPr>
          <w:p>
            <w:r>
              <w:t>Applicant</w:t>
            </w:r>
          </w:p>
        </w:tc>
        <w:tc>
          <w:tcPr>
            <w:tcW w:type="dxa" w:w="4320"/>
          </w:tcPr>
          <w:p>
            <w:r>
              <w:t>HeadySystems Inc.</w:t>
            </w:r>
          </w:p>
        </w:tc>
      </w:tr>
      <w:tr>
        <w:tc>
          <w:tcPr>
            <w:tcW w:type="dxa" w:w="4320"/>
          </w:tcPr>
          <w:p>
            <w:r>
              <w:t>Inventor</w:t>
            </w:r>
          </w:p>
        </w:tc>
        <w:tc>
          <w:tcPr>
            <w:tcW w:type="dxa" w:w="4320"/>
          </w:tcPr>
          <w:p>
            <w:r>
              <w:t>Eric Haywood</w:t>
            </w:r>
          </w:p>
        </w:tc>
      </w:tr>
      <w:tr>
        <w:tc>
          <w:tcPr>
            <w:tcW w:type="dxa" w:w="4320"/>
          </w:tcPr>
          <w:p>
            <w:r>
              <w:t>Residence</w:t>
            </w:r>
          </w:p>
        </w:tc>
        <w:tc>
          <w:tcPr>
            <w:tcW w:type="dxa" w:w="4320"/>
          </w:tcPr>
          <w:p>
            <w:r>
              <w:t>149 Remington Street Unit 425, Fort Collins, CO 80524</w:t>
            </w:r>
          </w:p>
        </w:tc>
      </w:tr>
      <w:tr>
        <w:tc>
          <w:tcPr>
            <w:tcW w:type="dxa" w:w="4320"/>
          </w:tcPr>
          <w:p>
            <w:r>
              <w:t>Correspondence Address</w:t>
            </w:r>
          </w:p>
        </w:tc>
        <w:tc>
          <w:tcPr>
            <w:tcW w:type="dxa" w:w="4320"/>
          </w:tcPr>
          <w:p>
            <w:r>
              <w:t>HeadySystems Inc., 149 Remington Street Unit 425, Fort Collins, CO 80524</w:t>
            </w:r>
          </w:p>
        </w:tc>
      </w:tr>
      <w:tr>
        <w:tc>
          <w:tcPr>
            <w:tcW w:type="dxa" w:w="4320"/>
          </w:tcPr>
          <w:p>
            <w:r>
              <w:t>Attorney/Agent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>
      <w:pPr/>
      <w:r>
        <w:t>U.S. Government Interest: None</w:t>
      </w:r>
    </w:p>
    <w:p>
      <w:r>
        <w:br w:type="page"/>
      </w:r>
    </w:p>
    <w:p>
      <w:pPr>
        <w:pStyle w:val="Heading2"/>
      </w:pPr>
      <w:r>
        <w:t>CROSS-REFERENCE TO RELATED APPLICATIONS</w:t>
      </w:r>
    </w:p>
    <w:p/>
    <w:p>
      <w:r>
        <w:t>This application is related to HS-053 (Neural Stream Telemetry), HS-059 (Self-Healing Attestation Mesh), and HS-051 (Vibe-Match Latency Delta), all assigned to the same applicant.</w:t>
      </w:r>
    </w:p>
    <w:p/>
    <w:p/>
    <w:p/>
    <w:p>
      <w:pPr>
        <w:pStyle w:val="Heading2"/>
      </w:pPr>
      <w:r>
        <w:t>FIELD OF THE INVENTION</w:t>
      </w:r>
    </w:p>
    <w:p/>
    <w:p>
      <w:r>
        <w:t>The present invention relates to artificial intelligence system integrity, and more particularly to a method by which an autonomous AI system assesses its own recent operational history — including error rates, degradation patterns, and branding compliance — to produce a first-person confidence modifier that is injected into subsequent AI inference prompts, enabling the system to self-modulate its cognitive assertiveness based on empirical self-knowledge.</w:t>
      </w:r>
    </w:p>
    <w:p/>
    <w:p/>
    <w:p/>
    <w:p>
      <w:pPr>
        <w:pStyle w:val="Heading2"/>
      </w:pPr>
      <w:r>
        <w:t>BACKGROUND OF THE INVENTION</w:t>
      </w:r>
    </w:p>
    <w:p/>
    <w:p>
      <w:r>
        <w:t>Current AI systems are not aware of their own operational state. A large language model will respond with equal confidence whether the underlying infrastructure is healthy or severely degraded. This lack of self-awareness creates three critical failure modes:</w:t>
      </w:r>
    </w:p>
    <w:p/>
    <w:p>
      <w:pPr>
        <w:pStyle w:val="ListNumber"/>
      </w:pPr>
      <w:r>
        <w:t>**Overconfident degradation:** The system makes high-confidence assertions while its infrastructure is failing</w:t>
      </w:r>
    </w:p>
    <w:p>
      <w:r>
        <w:t>2. **No operational memory:** Each inference is disconnected from the system's recent history of errors or successes</w:t>
      </w:r>
    </w:p>
    <w:p>
      <w:r>
        <w:t>3. **No self-modulation:** The system cannot temper its responses when it knows its own reliability is compromised</w:t>
      </w:r>
    </w:p>
    <w:p/>
    <w:p>
      <w:r>
        <w:t>Human metacognition — the awareness of one's own cognitive state — is a fundamental prerequisite for reliable autonomous operation. Without it, autonomous AI agents cannot be trusted for high-stakes decisions.</w:t>
      </w:r>
    </w:p>
    <w:p/>
    <w:p/>
    <w:p/>
    <w:p>
      <w:pPr>
        <w:pStyle w:val="Heading2"/>
      </w:pPr>
      <w:r>
        <w:t>SUMMARY OF THE INVENTION</w:t>
      </w:r>
    </w:p>
    <w:p/>
    <w:p>
      <w:r>
        <w:t>The present invention provides a Metacognitive Self-Awareness Loop that continuously ingests telemetry events (errors, successes, warnings, critical failures) into a ring buffer, computes rolling error rates over configurable time windows, and produces a first-person confidence assessment that is injected as context into subsequent AI inference prompts. The system assesses its own state before making high-stakes decisions, producing recommendations such as "defer to human review" when confidence drops below configured thresholds.</w:t>
      </w:r>
    </w:p>
    <w:p/>
    <w:p/>
    <w:p/>
    <w:p>
      <w:pPr>
        <w:pStyle w:val="Heading2"/>
      </w:pPr>
      <w:r>
        <w:t>DETAILED DESCRIPTION OF THE PREFERRED EMBODIMENTS</w:t>
      </w:r>
    </w:p>
    <w:p/>
    <w:p>
      <w:pPr>
        <w:pStyle w:val="Heading3"/>
      </w:pPr>
      <w:r>
        <w:t>I. Telemetry Ring Buffer</w:t>
      </w:r>
    </w:p>
    <w:p/>
    <w:p>
      <w:r>
        <w:t>The system maintains a fixed-size ring buffer (default: 500 events) of operational telemetry events. Each event contains:</w:t>
      </w:r>
    </w:p>
    <w:p/>
    <w:p>
      <w:pPr>
        <w:pStyle w:val="ListBullet"/>
      </w:pPr>
      <w:r>
        <w:t>`type`: Event category (e.g., 'pipeline_failure', 'api_error', 'self_heal', 'successful_inference')</w:t>
      </w:r>
    </w:p>
    <w:p>
      <w:pPr>
        <w:pStyle w:val="ListBullet"/>
      </w:pPr>
      <w:r>
        <w:t>`summary`: Human-readable one-line description</w:t>
      </w:r>
    </w:p>
    <w:p>
      <w:pPr>
        <w:pStyle w:val="ListBullet"/>
      </w:pPr>
      <w:r>
        <w:t>`data`: Structured event payload</w:t>
      </w:r>
    </w:p>
    <w:p>
      <w:pPr>
        <w:pStyle w:val="ListBullet"/>
      </w:pPr>
      <w:r>
        <w:t>`severity`: One of 'info', 'warn', 'error', 'critical'</w:t>
      </w:r>
    </w:p>
    <w:p>
      <w:pPr>
        <w:pStyle w:val="ListBullet"/>
      </w:pPr>
      <w:r>
        <w:t>`timestamp`: UTC timestamp</w:t>
      </w:r>
    </w:p>
    <w:p/>
    <w:p>
      <w:r>
        <w:t>When the buffer is full, the oldest event is evicted. This creates a rolling window of operational memory.</w:t>
      </w:r>
    </w:p>
    <w:p/>
    <w:p>
      <w:pPr>
        <w:pStyle w:val="Heading3"/>
      </w:pPr>
      <w:r>
        <w:t>II. Rolling Error Rate Computation</w:t>
      </w:r>
    </w:p>
    <w:p/>
    <w:p>
      <w:r>
        <w:t>The system computes error rates over two time windows:</w:t>
      </w:r>
    </w:p>
    <w:p/>
    <w:p>
      <w:pPr>
        <w:pStyle w:val="ListBullet"/>
      </w:pPr>
      <w:r>
        <w:t>**1-minute error rate:** Errors in the last 60 seconds ÷ total events in the last 60 seconds</w:t>
      </w:r>
    </w:p>
    <w:p>
      <w:pPr>
        <w:pStyle w:val="ListBullet"/>
      </w:pPr>
      <w:r>
        <w:t>**5-minute error rate:** Errors in the last 300 seconds ÷ total events in the last 300 seconds</w:t>
      </w:r>
    </w:p>
    <w:p/>
    <w:p>
      <w:r>
        <w:t>These rates are updated on every telemetry ingestion.</w:t>
      </w:r>
    </w:p>
    <w:p/>
    <w:p>
      <w:pPr>
        <w:pStyle w:val="Heading3"/>
      </w:pPr>
      <w:r>
        <w:t>III. First-Person State Assessment (assessSystemState)</w:t>
      </w:r>
    </w:p>
    <w:p/>
    <w:p>
      <w:r>
        <w:t>Before any high-stakes decision, the system queries its own recent operational state:</w:t>
      </w:r>
    </w:p>
    <w:p/>
    <w:p>
      <w:pPr>
        <w:pStyle w:val="ListNumber"/>
      </w:pPr>
      <w:r>
        <w:t>Extracts recent errors from the ring buffer</w:t>
      </w:r>
    </w:p>
    <w:p>
      <w:r>
        <w:t>2. Computes a base confidence score using the formula:</w:t>
      </w:r>
    </w:p>
    <w:p/>
    <w:p>
      <w:r>
        <w:t xml:space="preserve">   ```</w:t>
      </w:r>
    </w:p>
    <w:p>
      <w:r>
        <w:t xml:space="preserve">   confidence = 1.0 − (errorRate1m × 2) − (errorRate5m × 0.5)</w:t>
      </w:r>
    </w:p>
    <w:p>
      <w:r>
        <w:t xml:space="preserve">   ```</w:t>
      </w:r>
    </w:p>
    <w:p/>
    <w:p>
      <w:r>
        <w:t>3. Applies a penalty for critical events in the last 5 minutes</w:t>
      </w:r>
    </w:p>
    <w:p>
      <w:r>
        <w:t>4. Generates a natural-language context string summarizing the system's self-assessment (e.g., "System healthy — 0 errors in last 5 minutes, confidence 0.98")</w:t>
      </w:r>
    </w:p>
    <w:p>
      <w:r>
        <w:t>5. Produces recommendations (e.g., "defer to human review", "reduce inference temperature", "increase monitoring")</w:t>
      </w:r>
    </w:p>
    <w:p/>
    <w:p>
      <w:pPr>
        <w:pStyle w:val="Heading3"/>
      </w:pPr>
      <w:r>
        <w:t>IV. Prompt Injection Protocol</w:t>
      </w:r>
    </w:p>
    <w:p/>
    <w:p>
      <w:r>
        <w:t>The confidence assessment output is injected into the AI inference prompt as a system context block:</w:t>
      </w:r>
    </w:p>
    <w:p/>
    <w:p>
      <w:r>
        <w:t>```</w:t>
      </w:r>
    </w:p>
    <w:p>
      <w:r>
        <w:t>[System Self-Assessment]</w:t>
      </w:r>
    </w:p>
    <w:p>
      <w:r>
        <w:t>Confidence: 0.87</w:t>
      </w:r>
    </w:p>
    <w:p>
      <w:r>
        <w:t>Recent errors: 2 in last 5 minutes</w:t>
      </w:r>
    </w:p>
    <w:p>
      <w:r>
        <w:t>Recommendation: Proceed with standard confidence</w:t>
      </w:r>
    </w:p>
    <w:p>
      <w:r>
        <w:t>[End Self-Assessment]</w:t>
      </w:r>
    </w:p>
    <w:p>
      <w:r>
        <w:t>```</w:t>
      </w:r>
    </w:p>
    <w:p/>
    <w:p>
      <w:r>
        <w:t>This enables the AI model to self-modulate its assertiveness based on empirical knowledge of its own operational reliability.</w:t>
      </w:r>
    </w:p>
    <w:p/>
    <w:p>
      <w:pPr>
        <w:pStyle w:val="Heading3"/>
      </w:pPr>
      <w:r>
        <w:t>V. Multi-Domain Branding Awareness</w:t>
      </w:r>
    </w:p>
    <w:p/>
    <w:p>
      <w:r>
        <w:t>The self-awareness loop also monitors the system's external digital presence across multiple domains by:</w:t>
      </w:r>
    </w:p>
    <w:p/>
    <w:p>
      <w:pPr>
        <w:pStyle w:val="ListNumber"/>
      </w:pPr>
      <w:r>
        <w:t>Scanning each registered domain for HTTP responsiveness</w:t>
      </w:r>
    </w:p>
    <w:p>
      <w:r>
        <w:t>2. Verifying branding elements are present in responses</w:t>
      </w:r>
    </w:p>
    <w:p>
      <w:r>
        <w:t>3. Tracking domain health history over time</w:t>
      </w:r>
    </w:p>
    <w:p>
      <w:r>
        <w:t>4. Integrating brand health into the overall system introspection report</w:t>
      </w:r>
    </w:p>
    <w:p/>
    <w:p/>
    <w:p/>
    <w:p>
      <w:pPr>
        <w:pStyle w:val="Heading2"/>
      </w:pPr>
      <w:r>
        <w:t>CLAIMS</w:t>
      </w:r>
    </w:p>
    <w:p/>
    <w:p>
      <w:pPr>
        <w:pStyle w:val="ListBullet"/>
      </w:pPr>
      <w:r>
        <w:t>Claim 1.** A computer-implemented method for enabling artificial intelligence self-awareness through metacognitive state assessment, comprising:</w:t>
      </w:r>
    </w:p>
    <w:p>
      <w:r>
        <w:t>(a) maintaining a ring buffer of operational telemetry events, each containing a severity classification and timestamp;</w:t>
      </w:r>
    </w:p>
    <w:p>
      <w:r>
        <w:t>(b) computing rolling error rates over configurable time windows from said ring buffer;</w:t>
      </w:r>
    </w:p>
    <w:p>
      <w:r>
        <w:t>(c) upon receiving a query for system state assessment, computing a first-person confidence score based on said error rates;</w:t>
      </w:r>
    </w:p>
    <w:p>
      <w:r>
        <w:t>(d) generating a natural-language context string describing the system's current operational state;</w:t>
      </w:r>
    </w:p>
    <w:p>
      <w:r>
        <w:t>(e) injecting said confidence score and context string into subsequent AI inference prompts as system context.</w:t>
      </w:r>
    </w:p>
    <w:p/>
    <w:p>
      <w:pPr>
        <w:pStyle w:val="ListBullet"/>
      </w:pPr>
      <w:r>
        <w:t>Claim 2.** The method of Claim 1, wherein said confidence score is computed using the formula: confidence = 1.0 − (errorRate1m × w₁) − (errorRate5m × w₂), where w₁ and w₂ are configurable weighting factors.</w:t>
      </w:r>
    </w:p>
    <w:p/>
    <w:p>
      <w:pPr>
        <w:pStyle w:val="ListBullet"/>
      </w:pPr>
      <w:r>
        <w:t>Claim 3.** The method of Claim 1, further comprising generating one or more operational recommendations based on the confidence score, including at least one of: "defer to human review," "reduce inference temperature," or "increase monitoring frequency."</w:t>
      </w:r>
    </w:p>
    <w:p/>
    <w:p>
      <w:pPr>
        <w:pStyle w:val="ListBullet"/>
      </w:pPr>
      <w:r>
        <w:t>Claim 4.** The method of Claim 1, further comprising applying a penalty to the confidence score when critical-severity events are detected within a configurable recent time window.</w:t>
      </w:r>
    </w:p>
    <w:p/>
    <w:p>
      <w:pPr>
        <w:pStyle w:val="ListBullet"/>
      </w:pPr>
      <w:r>
        <w:t>Claim 5.** The method of Claim 1, wherein said ring buffer has a configurable fixed size and evicts the oldest event when full, creating a bounded sliding window of operational memory.</w:t>
      </w:r>
    </w:p>
    <w:p/>
    <w:p>
      <w:pPr>
        <w:pStyle w:val="ListBullet"/>
      </w:pPr>
      <w:r>
        <w:t>Claim 6.** The method of Claim 1, further comprising multi-domain branding awareness monitoring that scans registered domains for HTTP responsiveness and branding element presence, integrating brand health into the system introspection report.</w:t>
      </w:r>
    </w:p>
    <w:p/>
    <w:p>
      <w:pPr>
        <w:pStyle w:val="ListBullet"/>
      </w:pPr>
      <w:r>
        <w:t>Claim 7.** A metacognitive AI system, comprising:</w:t>
      </w:r>
    </w:p>
    <w:p>
      <w:r>
        <w:t>(a) a telemetry ring buffer configured to store operational events with severity classifications;</w:t>
      </w:r>
    </w:p>
    <w:p>
      <w:r>
        <w:t>(b) an error rate computation module configured to compute rolling error rates over multiple time windows;</w:t>
      </w:r>
    </w:p>
    <w:p>
      <w:r>
        <w:t>(c) a state assessment module configured to produce a first-person confidence score and natural-language context string;</w:t>
      </w:r>
    </w:p>
    <w:p>
      <w:r>
        <w:t>(d) a prompt injection module configured to insert said confidence and context into AI inference prompts;</w:t>
      </w:r>
    </w:p>
    <w:p>
      <w:r>
        <w:t>(e) a recommendation engine configured to generate operational recommendations based on confidence levels.</w:t>
      </w:r>
    </w:p>
    <w:p/>
    <w:p/>
    <w:p/>
    <w:p>
      <w:pPr>
        <w:pStyle w:val="Heading2"/>
      </w:pPr>
      <w:r>
        <w:t>ABSTRACT</w:t>
      </w:r>
    </w:p>
    <w:p/>
    <w:p>
      <w:r>
        <w:t>A system and method for enabling autonomous AI systems to assess their own operational state through a metacognitive self-awareness loop. The system maintains a ring buffer of operational telemetry events, computes rolling error rates over configurable time windows, and produces a first-person confidence assessment that is injected as context into subsequent AI inference prompts. Before high-stakes decisions, the system queries its own recent operational history — including error rates, degradation patterns, and critical failures — to compute a confidence modifier and generate natural-language recommendations such as "defer to human review" when reliability is compromised. This metacognitive capability enables autonomous AI agents to self-modulate their cognitive assertiveness based on empirical self-knowledge, a prerequisite for trustworthy autonomous operation.</w:t>
      </w:r>
    </w:p>
    <w:p/>
    <w:p/>
    <w:p/>
    <w:p>
      <w:pPr>
        <w:pStyle w:val="ListBullet"/>
      </w:pPr>
      <w:r>
        <w:t>© 2026 Heady Systems LLC. All rights reserved.*</w:t>
      </w:r>
    </w:p>
    <w:p>
      <w:pPr>
        <w:pStyle w:val="ListBullet"/>
      </w:pPr>
      <w:r>
        <w:t>Attorney Docket No.: HS-061*</w:t>
      </w:r>
    </w:p>
    <w:p>
      <w:pPr>
        <w:pStyle w:val="Heading2"/>
      </w:pPr>
      <w:r>
        <w:t>References</w:t>
      </w:r>
    </w:p>
    <w:p>
      <w:r>
        <w:rPr>
          <w:b/>
        </w:rPr>
        <w:t xml:space="preserve">[1] </w:t>
      </w:r>
      <w:r>
        <w:t>AI metacognition enables agents to monitor, reflect on, and adapt their own cognitive processes, improving robustness, adaptability, and trustworthiness 【894442746832901†L55-L70】</w:t>
      </w:r>
    </w:p>
    <w:p>
      <w:r>
        <w:rPr>
          <w:b/>
        </w:rPr>
        <w:t xml:space="preserve">[2] </w:t>
      </w:r>
      <w:r>
        <w:t>A ring buffer (circular buffer) is a fixed-size data structure that efficiently handles data streams with constant-time operations and fixed memory usage 【353053613209643†L15-L33】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