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000000">
      <w:pPr>
        <w:jc w:val="center"/>
      </w:pPr>
      <w:r>
        <w:rPr>
          <w:b/>
          <w:sz w:val="24"/>
        </w:rPr>
        <w:t>COVER PAGE</w:t>
      </w:r>
    </w:p>
    <w:p w14:paraId="10000001">
      <w:pPr>
        <w:jc w:val="center"/>
      </w:pPr>
      <w:r>
        <w:rPr>
          <w:b/>
          <w:sz w:val="32"/>
        </w:rPr>
        <w:t>PROVISIONAL PATENT APPLICATION</w:t>
      </w:r>
    </w:p>
    <w:p w14:paraId="10000002"/>
    <w:p w14:paraId="10000003">
      <w:pPr>
        <w:jc w:val="center"/>
      </w:pPr>
      <w:r>
        <w:rPr>
          <w:b/>
          <w:sz w:val="36"/>
        </w:rPr>
        <w:t>Dynamic Knowledge Graph Traversal for Personalized Curriculum Generation</w:t>
      </w:r>
    </w:p>
    <w:p w14:paraId="10000004">
      <w:pPr>
        <w:jc w:val="center"/>
      </w:pPr>
      <w:r>
        <w:rPr>
          <w:sz w:val="24"/>
        </w:rPr>
        <w:t>Patent Application 20: HeadyEd</w:t>
      </w:r>
    </w:p>
    <w:p w14:paraId="10000005"/>
    <w:p w14:paraId="10000006"/>
    <w:tbl>
      <w:tblPr>
        <w:tblStyle w:val="TableGrid"/>
        <w:tblW w:w="0" w:type="auto"/>
        <w:tblLook w:val="04A0" w:firstRow="1" w:lastRow="0" w:firstColumn="1" w:lastColumn="0" w:noHBand="0" w:noVBand="1"/>
      </w:tblPr>
      <w:tblGrid>
        <w:gridCol w:w="4680"/>
        <w:gridCol w:w="4680"/>
      </w:tblGrid>
      <w:tr w14:paraId="10000094">
        <w:tc>
          <w:tcPr>
            <w:tcW w:w="4680" w:type="dxa"/>
          </w:tcPr>
          <w:p w14:paraId="10000007">
            <w:r>
              <w:rPr>
                <w:b/>
              </w:rPr>
              <w:t>Applicant / Assignee</w:t>
            </w:r>
          </w:p>
        </w:tc>
        <w:tc>
          <w:tcPr>
            <w:tcW w:w="4680" w:type="dxa"/>
          </w:tcPr>
          <w:p w14:paraId="10000008">
            <w:r>
              <w:t>HeadySystems Inc.</w:t>
            </w:r>
          </w:p>
        </w:tc>
      </w:tr>
      <w:tr w14:paraId="10000095">
        <w:tc>
          <w:tcPr>
            <w:tcW w:w="4680" w:type="dxa"/>
          </w:tcPr>
          <w:p w14:paraId="10000009">
            <w:r>
              <w:rPr>
                <w:b/>
              </w:rPr>
              <w:t>Inventor</w:t>
            </w:r>
          </w:p>
        </w:tc>
        <w:tc>
          <w:tcPr>
            <w:tcW w:w="4680" w:type="dxa"/>
          </w:tcPr>
          <w:p w14:paraId="10000010">
            <w:r>
              <w:t>Eric Haywood</w:t>
            </w:r>
          </w:p>
        </w:tc>
      </w:tr>
      <w:tr w14:paraId="10000096">
        <w:tc>
          <w:tcPr>
            <w:tcW w:w="4680" w:type="dxa"/>
          </w:tcPr>
          <w:p w14:paraId="10000011">
            <w:r>
              <w:rPr>
                <w:b/>
              </w:rPr>
              <w:t>Correspondence Address</w:t>
            </w:r>
          </w:p>
        </w:tc>
        <w:tc>
          <w:tcPr>
            <w:tcW w:w="4680" w:type="dxa"/>
          </w:tcPr>
          <w:p w14:paraId="10000012">
            <w:r>
              <w:t>[To be provided]</w:t>
            </w:r>
          </w:p>
        </w:tc>
      </w:tr>
      <w:tr w14:paraId="10000097">
        <w:tc>
          <w:tcPr>
            <w:tcW w:w="4680" w:type="dxa"/>
          </w:tcPr>
          <w:p w14:paraId="10000013">
            <w:r>
              <w:rPr>
                <w:b/>
              </w:rPr>
              <w:t>Entity Status</w:t>
            </w:r>
          </w:p>
        </w:tc>
        <w:tc>
          <w:tcPr>
            <w:tcW w:w="4680" w:type="dxa"/>
          </w:tcPr>
          <w:p w14:paraId="10000014">
            <w:r>
              <w:t>Undetermined (select on filing)</w:t>
            </w:r>
          </w:p>
        </w:tc>
      </w:tr>
      <w:tr w14:paraId="10000098">
        <w:tc>
          <w:tcPr>
            <w:tcW w:w="4680" w:type="dxa"/>
          </w:tcPr>
          <w:p w14:paraId="10000015">
            <w:r>
              <w:rPr>
                <w:b/>
              </w:rPr>
              <w:t>Government Interest</w:t>
            </w:r>
          </w:p>
        </w:tc>
        <w:tc>
          <w:tcPr>
            <w:tcW w:w="4680" w:type="dxa"/>
          </w:tcPr>
          <w:p w14:paraId="10000016">
            <w:r>
              <w:t>None known</w:t>
            </w:r>
          </w:p>
        </w:tc>
      </w:tr>
      <w:tr w14:paraId="10000099">
        <w:tc>
          <w:tcPr>
            <w:tcW w:w="4680" w:type="dxa"/>
          </w:tcPr>
          <w:p w14:paraId="10000017">
            <w:r>
              <w:rPr>
                <w:b/>
              </w:rPr>
              <w:t>Attorney Docket</w:t>
            </w:r>
          </w:p>
        </w:tc>
        <w:tc>
          <w:tcPr>
            <w:tcW w:w="4680" w:type="dxa"/>
          </w:tcPr>
          <w:p w14:paraId="10000018">
            <w:r>
              <w:t>HS-PPA-20-HeadyEd</w:t>
            </w:r>
          </w:p>
        </w:tc>
      </w:tr>
      <w:tr w14:paraId="10000100">
        <w:tc>
          <w:tcPr>
            <w:tcW w:w="4680" w:type="dxa"/>
          </w:tcPr>
          <w:p w14:paraId="10000019">
            <w:r>
              <w:rPr>
                <w:b/>
              </w:rPr>
              <w:t>Date</w:t>
            </w:r>
          </w:p>
        </w:tc>
        <w:tc>
          <w:tcPr>
            <w:tcW w:w="4680" w:type="dxa"/>
          </w:tcPr>
          <w:p w14:paraId="10000020">
            <w:r>
              <w:t>January 21, 2026</w:t>
            </w:r>
          </w:p>
        </w:tc>
      </w:tr>
      <w:tr w14:paraId="10000101">
        <w:tc>
          <w:tcPr>
            <w:tcW w:w="4680" w:type="dxa"/>
          </w:tcPr>
          <w:p w14:paraId="10000021">
            <w:r>
              <w:rPr>
                <w:b/>
              </w:rPr>
              <w:t>U.S. Provisional Application No.</w:t>
            </w:r>
          </w:p>
        </w:tc>
        <w:tc>
          <w:tcPr>
            <w:tcW w:w="4680" w:type="dxa"/>
          </w:tcPr>
          <w:p w14:paraId="10000022">
            <w:r>
              <w:t>[To be assigned]</w:t>
            </w:r>
          </w:p>
        </w:tc>
      </w:tr>
    </w:tbl>
    <w:p w14:paraId="10000023"/>
    <w:p w14:paraId="10000024">
      <w:r>
        <w:rPr>
          <w:i/>
          <w:sz w:val="20"/>
        </w:rPr>
        <w:t>Note: This technical disclosure is intended to support a provisional filing. It is not legal advice.</w:t>
      </w:r>
    </w:p>
    <w:p w14:paraId="10000025">
      <w:r>
        <w:br w:type="page"/>
      </w:r>
    </w:p>
    <w:p w14:paraId="10000026">
      <w:pPr>
        <w:pStyle w:val="Heading1"/>
      </w:pPr>
      <w:r>
        <w:t>Abstract</w:t>
      </w:r>
    </w:p>
    <w:p w14:paraId="10000027">
      <w:pPr>
        <w:spacing w:after="120"/>
      </w:pPr>
      <w:r>
        <w:t>An adaptive education system generates personalized learning pathways by mapping a user's real-time cognitive state against a target competency graph. An AI agent detects knowledge gaps through semantic analysis of user interactions (e.g., latency, query patterns, error signatures) and dynamically constructs a micro-curriculum by assembling learning objects (text, video, simulation, assessment) that bridge the gaps. Upon satisfying mastery criteria for graph nodes, the system issues a cryptographically verifiable micro-credential bound to the learner's identity and evidence hashes of assessments, enabling portable proof of mastery within a sovereign identity framework.</w:t>
      </w:r>
    </w:p>
    <w:p w14:paraId="10000028">
      <w:pPr>
        <w:pStyle w:val="Heading1"/>
      </w:pPr>
      <w:r>
        <w:t>Field of the Invention</w:t>
      </w:r>
    </w:p>
    <w:p w14:paraId="10000029">
      <w:pPr>
        <w:spacing w:after="120"/>
      </w:pPr>
      <w:r>
        <w:t>[0001] The invention relates to adaptive education systems, personalized curriculum generation, knowledge graph traversal, and cryptographically verifiable credentialing. More particularly, it relates to dynamically selecting and sequencing learning objects by traversing competency graphs based on real-time analysis of a learner's cognitive state, and issuing signed micro-credentials bound to mastery evidence.</w:t>
      </w:r>
    </w:p>
    <w:p w14:paraId="10000030">
      <w:pPr>
        <w:pStyle w:val="Heading1"/>
      </w:pPr>
      <w:r>
        <w:t>Background</w:t>
      </w:r>
    </w:p>
    <w:p w14:paraId="10000031">
      <w:pPr>
        <w:spacing w:after="120"/>
      </w:pPr>
      <w:r>
        <w:t>[0002] Traditional curricula are typically linear and fixed, requiring learners to progress through predetermined content regardless of individual gaps, pace, and learning preferences.</w:t>
      </w:r>
    </w:p>
    <w:p w14:paraId="10000032">
      <w:pPr>
        <w:spacing w:after="120"/>
      </w:pPr>
      <w:r>
        <w:t>[0003] Adaptive learning systems often rely on coarse metrics such as quiz scores and do not incorporate semantic interaction signals that reveal misconceptions, uncertainty, or mastery confidence.</w:t>
      </w:r>
    </w:p>
    <w:p w14:paraId="10000033">
      <w:pPr>
        <w:spacing w:after="120"/>
      </w:pPr>
      <w:r>
        <w:t>[0004] Modern learning environments include heterogeneous learning objects (text, video, simulations, labs), yet assembling a coherent personalized pathway from disparate sources remains challenging.</w:t>
      </w:r>
    </w:p>
    <w:p w14:paraId="10000034">
      <w:pPr>
        <w:spacing w:after="120"/>
      </w:pPr>
      <w:r>
        <w:t>[0005] Credentialing systems frequently lack cryptographic verifiability and portability; a learner who achieves mastery may not have a trustworthy, portable proof linked to underlying evidence.</w:t>
      </w:r>
    </w:p>
    <w:p w14:paraId="10000035">
      <w:pPr>
        <w:spacing w:after="120"/>
      </w:pPr>
      <w:r>
        <w:t>[0006] Accordingly, there is a need for a system that continuously estimates learner state, traverses a competency graph to select optimal next steps, assembles a micro-curriculum from diverse objects, and issues cryptographically verifiable micro-credentials upon mastery.</w:t>
      </w:r>
    </w:p>
    <w:p w14:paraId="10000036">
      <w:pPr>
        <w:pStyle w:val="Heading1"/>
      </w:pPr>
      <w:r>
        <w:t>Summary</w:t>
      </w:r>
    </w:p>
    <w:p w14:paraId="10000037">
      <w:pPr>
        <w:spacing w:after="120"/>
      </w:pPr>
      <w:r>
        <w:t>[0007] In one embodiment, learner interaction telemetry is collected and used to infer a cognitive state vector representing mastery confidence across competencies.</w:t>
      </w:r>
    </w:p>
    <w:p w14:paraId="10000038">
      <w:pPr>
        <w:spacing w:after="120"/>
      </w:pPr>
      <w:r>
        <w:t>[0008] In one embodiment, a competency graph defines nodes, prerequisites, and mastery criteria; the system traverses the graph to select target nodes for remediation or advancement based on the cognitive state vector.</w:t>
      </w:r>
    </w:p>
    <w:p w14:paraId="10000039">
      <w:pPr>
        <w:spacing w:after="120"/>
      </w:pPr>
      <w:r>
        <w:t>[0009] In one embodiment, a micro-curriculum assembler retrieves and sequences learning objects aligned to selected nodes and learner constraints, and delivers the micro-curriculum in short, targeted modules.</w:t>
      </w:r>
    </w:p>
    <w:p w14:paraId="10000040">
      <w:pPr>
        <w:spacing w:after="120"/>
      </w:pPr>
      <w:r>
        <w:t>[0010] In one embodiment, assessments produce mastery evidence that updates the cognitive state vector and, upon satisfaction of criteria, triggers issuance of a signed micro-credential.</w:t>
      </w:r>
    </w:p>
    <w:p w14:paraId="10000041">
      <w:pPr>
        <w:spacing w:after="120"/>
      </w:pPr>
      <w:r>
        <w:t>[0011] In one embodiment, the micro-credential is cryptographically verifiable and bound to a learner identity and evidence hashes, enabling portable proof of mastery.</w:t>
      </w:r>
    </w:p>
    <w:p w14:paraId="10000042">
      <w:pPr>
        <w:pStyle w:val="Heading1"/>
      </w:pPr>
      <w:r>
        <w:t>Brief Description of the Drawings</w:t>
      </w:r>
    </w:p>
    <w:p w14:paraId="10000043">
      <w:pPr>
        <w:spacing w:after="120"/>
      </w:pPr>
      <w:r>
        <w:t>[0012] FIG. 1 is a schematic block diagram illustrating an adaptive curriculum system including telemetry collection, cognitive state estimation, competency graph traversal, micro-curriculum assembly, assessment evidence, and issuance of a signed micro-credential.</w:t>
      </w:r>
    </w:p>
    <w:p w14:paraId="10000044">
      <w:pPr>
        <w:pStyle w:val="Heading1"/>
      </w:pPr>
      <w:r>
        <w:t>Detailed Description</w:t>
      </w:r>
    </w:p>
    <w:p w14:paraId="10000045">
      <w:pPr>
        <w:pStyle w:val="Heading2"/>
      </w:pPr>
      <w:r>
        <w:t>System Overview</w:t>
      </w:r>
    </w:p>
    <w:p w14:paraId="10000046">
      <w:pPr>
        <w:spacing w:after="120"/>
      </w:pPr>
      <w:r>
        <w:t>[0013] In an example implementation, a learner interacts with a learning platform. Interaction telemetry is collected and used to compute a cognitive state estimate. A competency graph models prerequisite relationships. A traversal engine selects the next target node(s) and a micro-curriculum assembler retrieves learning objects and assessments aligned to those nodes. Assessment results update the cognitive state. When mastery criteria are satisfied, a credential issuer generates a signed micro-credential bound to evidence hashes and a learner identity wallet.</w:t>
      </w:r>
    </w:p>
    <w:p w14:paraId="10000047">
      <w:pPr>
        <w:pStyle w:val="Heading2"/>
      </w:pPr>
      <w:r>
        <w:t>Learner Telemetry and Cognitive State Estimation</w:t>
      </w:r>
    </w:p>
    <w:p w14:paraId="10000048">
      <w:pPr>
        <w:spacing w:after="120"/>
      </w:pPr>
      <w:r>
        <w:t>[0014] Telemetry can include response latency, error patterns, question reformulations, hint usage, dwell time, and semantic features of learner queries and explanations.</w:t>
      </w:r>
    </w:p>
    <w:p w14:paraId="10000049">
      <w:pPr>
        <w:spacing w:after="120"/>
      </w:pPr>
      <w:r>
        <w:t>[0015] A cognitive state estimator maps telemetry into a mastery confidence vector over competency nodes. The estimator may use probabilistic models, Bayesian knowledge tracing, embeddings, or classifier ensembles.</w:t>
      </w:r>
    </w:p>
    <w:p w14:paraId="10000050">
      <w:pPr>
        <w:spacing w:after="120"/>
      </w:pPr>
      <w:r>
        <w:t>[0016] The estimator can output uncertainty measures and can distinguish between lack of exposure, misconception, and partial mastery.</w:t>
      </w:r>
    </w:p>
    <w:p w14:paraId="10000051">
      <w:pPr>
        <w:pStyle w:val="Heading2"/>
      </w:pPr>
      <w:r>
        <w:t>Competency Graph Representation</w:t>
      </w:r>
    </w:p>
    <w:p w14:paraId="10000052">
      <w:pPr>
        <w:spacing w:after="120"/>
      </w:pPr>
      <w:r>
        <w:t>[0017] A competency graph comprises nodes representing skills or concepts and edges representing prerequisite relationships. Nodes can include mastery criteria such as assessment thresholds, project completion, or demonstration tasks.</w:t>
      </w:r>
    </w:p>
    <w:p w14:paraId="10000053">
      <w:pPr>
        <w:spacing w:after="120"/>
      </w:pPr>
      <w:r>
        <w:t>[0018] Graph nodes can be associated with metadata including topic taxonomy, difficulty, estimated time, learning object mappings, and evaluation rubrics.</w:t>
      </w:r>
    </w:p>
    <w:p w14:paraId="10000054">
      <w:pPr>
        <w:spacing w:after="120"/>
      </w:pPr>
      <w:r>
        <w:t>[0019] In embodiments, the graph can be versioned and governed, with changes tracked for audit and credential consistency.</w:t>
      </w:r>
    </w:p>
    <w:p w14:paraId="10000055">
      <w:pPr>
        <w:pStyle w:val="Heading2"/>
      </w:pPr>
      <w:r>
        <w:t>Graph Traversal and Node Selection</w:t>
      </w:r>
    </w:p>
    <w:p w14:paraId="10000056">
      <w:pPr>
        <w:spacing w:after="120"/>
      </w:pPr>
      <w:r>
        <w:t>[0020] The traversal engine selects target nodes by comparing the learner's cognitive state to a desired mastery profile. Nodes with low confidence and required prerequisites are prioritized.</w:t>
      </w:r>
    </w:p>
    <w:p w14:paraId="10000057">
      <w:pPr>
        <w:spacing w:after="120"/>
      </w:pPr>
      <w:r>
        <w:t>[0021] Traversal can consider constraints such as available time, modality preferences, accessibility needs, and learning goals (e.g., certification path).</w:t>
      </w:r>
    </w:p>
    <w:p w14:paraId="10000058">
      <w:pPr>
        <w:spacing w:after="120"/>
      </w:pPr>
      <w:r>
        <w:t>[0022] In embodiments, traversal can schedule spaced repetition and review nodes based on forgetting curves inferred from telemetry.</w:t>
      </w:r>
    </w:p>
    <w:p w14:paraId="10000059">
      <w:pPr>
        <w:pStyle w:val="Heading2"/>
      </w:pPr>
      <w:r>
        <w:t>Micro-Curriculum Assembly</w:t>
      </w:r>
    </w:p>
    <w:p w14:paraId="10000060">
      <w:pPr>
        <w:spacing w:after="120"/>
      </w:pPr>
      <w:r>
        <w:t>[0023] The micro-curriculum assembler retrieves candidate learning objects aligned to selected nodes from multiple content sources. Objects can include text lessons, videos, interactive simulations, problem sets, and labs.</w:t>
      </w:r>
    </w:p>
    <w:p w14:paraId="10000061">
      <w:pPr>
        <w:spacing w:after="120"/>
      </w:pPr>
      <w:r>
        <w:t>[0024] The assembler sequences objects into a short pathway that includes instruction, practice, and assessment, and can adapt the sequence based on learner progress.</w:t>
      </w:r>
    </w:p>
    <w:p w14:paraId="10000062">
      <w:pPr>
        <w:spacing w:after="120"/>
      </w:pPr>
      <w:r>
        <w:t>[0025] In embodiments, the assembler enforces diversity of object types to improve comprehension and to match learner preferences while ensuring coverage of required prerequisites.</w:t>
      </w:r>
    </w:p>
    <w:p w14:paraId="10000063">
      <w:pPr>
        <w:pStyle w:val="Heading2"/>
      </w:pPr>
      <w:r>
        <w:t>Assessment, Evidence, and Mastery Updates</w:t>
      </w:r>
    </w:p>
    <w:p w14:paraId="10000064">
      <w:pPr>
        <w:spacing w:after="120"/>
      </w:pPr>
      <w:r>
        <w:t>[0026] Assessments generate evidence of mastery. Evidence can include quiz scores, rubric evaluations, code submissions, simulation results, and teacher or peer evaluations.</w:t>
      </w:r>
    </w:p>
    <w:p w14:paraId="10000065">
      <w:pPr>
        <w:spacing w:after="120"/>
      </w:pPr>
      <w:r>
        <w:t>[0027] The system computes evidence hashes over assessment artifacts and stores them as references to protect integrity while supporting privacy controls.</w:t>
      </w:r>
    </w:p>
    <w:p w14:paraId="10000066">
      <w:pPr>
        <w:spacing w:after="120"/>
      </w:pPr>
      <w:r>
        <w:t>[0028] Mastery criteria are evaluated per node; upon satisfaction, the cognitive state vector is updated and downstream nodes become eligible for traversal.</w:t>
      </w:r>
    </w:p>
    <w:p w14:paraId="10000067">
      <w:pPr>
        <w:pStyle w:val="Heading2"/>
      </w:pPr>
      <w:r>
        <w:t>Micro-Credential Issuance</w:t>
      </w:r>
    </w:p>
    <w:p w14:paraId="10000068">
      <w:pPr>
        <w:spacing w:after="120"/>
      </w:pPr>
      <w:r>
        <w:t>[0029] When mastery criteria are met for a node or set of nodes, a credential issuer constructs a micro-credential containing node identifiers, graph version identifiers, issuer identity, and evidence hashes.</w:t>
      </w:r>
    </w:p>
    <w:p w14:paraId="10000069">
      <w:pPr>
        <w:spacing w:after="120"/>
      </w:pPr>
      <w:r>
        <w:t>[0030] The micro-credential is digitally signed and can be stored in a learner identity wallet. Verification can be performed by checking issuer signature and matching evidence hash references.</w:t>
      </w:r>
    </w:p>
    <w:p w14:paraId="10000070">
      <w:pPr>
        <w:spacing w:after="120"/>
      </w:pPr>
      <w:r>
        <w:t>[0031] In embodiments, credentials support selective disclosure and privacy-preserving verification, enabling learners to prove mastery without revealing raw assessment artifacts.</w:t>
      </w:r>
    </w:p>
    <w:p w14:paraId="10000071">
      <w:pPr>
        <w:pStyle w:val="Heading2"/>
      </w:pPr>
      <w:r>
        <w:t>Example Use Cases</w:t>
      </w:r>
    </w:p>
    <w:p w14:paraId="10000072">
      <w:pPr>
        <w:spacing w:after="120"/>
      </w:pPr>
      <w:r>
        <w:t>[0032] Workforce upskilling: generate personalized pathways for job-role competencies and issue verifiable skill badges.</w:t>
      </w:r>
    </w:p>
    <w:p w14:paraId="10000073">
      <w:pPr>
        <w:spacing w:after="120"/>
      </w:pPr>
      <w:r>
        <w:t>[0033] Academic remediation: detect knowledge gaps and assemble targeted micro-curricula aligned to a course competency graph.</w:t>
      </w:r>
    </w:p>
    <w:p w14:paraId="10000074">
      <w:pPr>
        <w:spacing w:after="120"/>
      </w:pPr>
      <w:r>
        <w:t>[0034] Onboarding: generate micro-curricula tailored to internal tooling and policies and issue internal credentials upon completion.</w:t>
      </w:r>
    </w:p>
    <w:p w14:paraId="10000075">
      <w:pPr>
        <w:pStyle w:val="Heading2"/>
      </w:pPr>
      <w:r>
        <w:t>Alternative Embodiments</w:t>
      </w:r>
    </w:p>
    <w:p w14:paraId="10000076">
      <w:pPr>
        <w:spacing w:after="120"/>
      </w:pPr>
      <w:r>
        <w:t>[0035] In some embodiments, the system integrates real-time tutoring agents that respond to learner queries while remaining constrained by graph-selected nodes.</w:t>
      </w:r>
    </w:p>
    <w:p w14:paraId="10000077">
      <w:pPr>
        <w:spacing w:after="120"/>
      </w:pPr>
      <w:r>
        <w:t>[0036] In some embodiments, credential issuance is gated by a governance policy and requires a second signature (e.g., instructor or policy engine) for high-stakes credentials.</w:t>
      </w:r>
    </w:p>
    <w:p w14:paraId="10000078">
      <w:pPr>
        <w:spacing w:after="120"/>
      </w:pPr>
      <w:r>
        <w:t>[0037] In some embodiments, the system supports federated learning of the cognitive estimator while preserving learner privacy.</w:t>
      </w:r>
    </w:p>
    <w:p w14:paraId="10000079">
      <w:pPr>
        <w:pStyle w:val="Heading1"/>
      </w:pPr>
      <w:r>
        <w:t>Drawings</w:t>
      </w:r>
    </w:p>
    <w:p w14:paraId="10000080">
      <w:r>
        <w:drawing>
          <wp:inline xmlns:a="http://schemas.openxmlformats.org/drawingml/2006/main" xmlns:pic="http://schemas.openxmlformats.org/drawingml/2006/picture">
            <wp:extent cx="5943600" cy="1485900"/>
            <wp:docPr id="1" name="Picture 1"/>
            <wp:cNvGraphicFramePr>
              <a:graphicFrameLocks noChangeAspect="1"/>
            </wp:cNvGraphicFramePr>
            <a:graphic>
              <a:graphicData uri="http://schemas.openxmlformats.org/drawingml/2006/picture">
                <pic:pic>
                  <pic:nvPicPr>
                    <pic:cNvPr id="0" name="fig_20_headyed.png"/>
                    <pic:cNvPicPr/>
                  </pic:nvPicPr>
                  <pic:blipFill>
                    <a:blip r:embed="rId10"/>
                    <a:stretch>
                      <a:fillRect/>
                    </a:stretch>
                  </pic:blipFill>
                  <pic:spPr>
                    <a:xfrm>
                      <a:off x="0" y="0"/>
                      <a:ext cx="5943600" cy="1485900"/>
                    </a:xfrm>
                    <a:prstGeom prst="rect"/>
                  </pic:spPr>
                </pic:pic>
              </a:graphicData>
            </a:graphic>
          </wp:inline>
        </w:drawing>
      </w:r>
    </w:p>
    <w:p w14:paraId="10000081">
      <w:pPr>
        <w:jc w:val="center"/>
      </w:pPr>
      <w:r>
        <w:rPr>
          <w:i/>
        </w:rPr>
        <w:t>FIG. 1 - Adaptive curriculum generation with knowledge graph traversal and signed micro-credential issuance.</w:t>
      </w:r>
    </w:p>
    <w:p w14:paraId="10000082">
      <w:pPr>
        <w:pStyle w:val="Heading1"/>
      </w:pPr>
      <w:r>
        <w:t>Example Claims</w:t>
      </w:r>
    </w:p>
    <w:p w14:paraId="10000083">
      <w:pPr>
        <w:spacing w:after="120"/>
      </w:pPr>
      <w:r>
        <w:t>The following claims are provided as example claims and may be revised for a later non-provisional filing.</w:t>
      </w:r>
    </w:p>
    <w:p w14:paraId="10000084">
      <w:r>
        <w:t>1. A system for generating personalized educational curricula by dynamically traversing a knowledge graph based on real-time analysis of user cognitive state.</w:t>
      </w:r>
    </w:p>
    <w:p w14:paraId="10000085">
      <w:r>
        <w:t>2. The system of claim 1, wherein cognitive state is inferred from interaction features including response latency, error patterns, query semantics, and confidence signals.</w:t>
      </w:r>
    </w:p>
    <w:p w14:paraId="10000086">
      <w:r>
        <w:t>3. The system of claim 1, wherein a competency graph defines prerequisite relationships and mastery criteria for each node.</w:t>
      </w:r>
    </w:p>
    <w:p w14:paraId="10000087">
      <w:r>
        <w:t>4. The system of claim 1, further comprising selecting and assembling learning objects to form a micro-curriculum targeting one or more unmet nodes.</w:t>
      </w:r>
    </w:p>
    <w:p w14:paraId="10000088">
      <w:r>
        <w:t>5. The system of claim 4, wherein learning objects include text, video, simulations, assessments, and interactive exercises from disparate sources.</w:t>
      </w:r>
    </w:p>
    <w:p w14:paraId="10000089">
      <w:r>
        <w:t>6. The system of claim 1, further comprising updating cognitive state after each interaction and re-traversing the graph to adjust the curriculum.</w:t>
      </w:r>
    </w:p>
    <w:p w14:paraId="10000090">
      <w:r>
        <w:t>7. The method of claim 1, further comprising issuance of cryptographically verifiable micro-credentials upon satisfaction of specific graph nodes.</w:t>
      </w:r>
    </w:p>
    <w:p w14:paraId="10000091">
      <w:r>
        <w:t>8. The system of claim 7, wherein micro-credentials are signed to a sovereign identity wallet and include evidence hashes of assessments.</w:t>
      </w:r>
    </w:p>
    <w:p w14:paraId="10000092">
      <w:r>
        <w:t>9. The system of claim 1, wherein curriculum generation is constrained by time, accessibility preferences, and learning style.</w:t>
      </w:r>
    </w:p>
    <w:p w14:paraId="10000093">
      <w:r>
        <w:t>10. A non-transitory computer readable medium storing instructions to perform the method of claim 1.</w:t>
      </w:r>
    </w:p>
    <w:sectPr w:rsidRPr="0006063C" w:rsidR="00FC693F"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0000000">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asciiTheme="majorHAnsi" w:hAnsiTheme="majorHAnsi"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asciiTheme="majorHAnsi" w:hAnsiTheme="majorHAnsi" w:eastAsiaTheme="majorEastAsia"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asciiTheme="majorHAnsi" w:hAnsiTheme="majorHAnsi" w:eastAsiaTheme="majorEastAsia"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Pages>1</ap:Pages>
  <ap:Words>0</ap:Words>
  <ap:Characters>0</ap:Characters>
  <ap:Application>Microsoft Macintosh Word</ap:Application>
  <ap:Lines>0</ap:Lines>
  <ap:Paragraphs>0</ap:Paragraphs>
  <ap:ScaleCrop>false</ap:ScaleCrop>
  <ap:LinksUpToDate>false</ap:LinksUpToDate>
  <ap:CharactersWithSpaces>0</ap:CharactersWithSpaces>
  <ap:SharedDoc>false</ap:SharedDoc>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