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000000">
      <w:pPr>
        <w:jc w:val="center"/>
      </w:pPr>
      <w:r>
        <w:rPr>
          <w:b/>
          <w:sz w:val="32"/>
        </w:rPr>
        <w:t>PROVISIONAL PATENT APPLICATION</w:t>
      </w:r>
    </w:p>
    <w:p w14:paraId="10000001">
      <w:pPr>
        <w:jc w:val="center"/>
      </w:pPr>
      <w:r>
        <w:rPr>
          <w:i/>
          <w:sz w:val="24"/>
        </w:rPr>
        <w:t>Under 35 U.S.C. § 111(b)</w:t>
      </w:r>
    </w:p>
    <w:p w14:paraId="10000002"/>
    <w:p w14:paraId="10000003">
      <w:pPr>
        <w:jc w:val="center"/>
      </w:pPr>
      <w:r>
        <w:rPr>
          <w:b/>
          <w:sz w:val="28"/>
        </w:rPr>
        <w:t>SYSTEM AND METHOD FOR MULTI-AGENT ORCHESTRATION USING GOLDEN RATIO PROPORTIONAL SCALING</w:t>
      </w:r>
    </w:p>
    <w:p w14:paraId="10000004"/>
    <w:tbl>
      <w:tblPr>
        <w:tblStyle w:val="TableGrid"/>
        <w:tblW w:w="0" w:type="auto"/>
        <w:tblLook w:val="04A0" w:firstRow="1" w:lastRow="0" w:firstColumn="1" w:lastColumn="0" w:noHBand="0" w:noVBand="1"/>
      </w:tblPr>
      <w:tblGrid>
        <w:gridCol w:w="4320"/>
        <w:gridCol w:w="4320"/>
      </w:tblGrid>
      <w:tr w14:paraId="10000045">
        <w:tc>
          <w:tcPr>
            <w:tcW w:w="4320" w:type="dxa"/>
          </w:tcPr>
          <w:p w14:paraId="10000005">
            <w:r>
              <w:t>Title of the Invention</w:t>
            </w:r>
          </w:p>
        </w:tc>
        <w:tc>
          <w:tcPr>
            <w:tcW w:w="4320" w:type="dxa"/>
          </w:tcPr>
          <w:p w14:paraId="10000006">
            <w:r>
              <w:t>System and Method for Multi-Agent Orchestration Using Golden Ratio Proportional Scaling</w:t>
            </w:r>
          </w:p>
        </w:tc>
      </w:tr>
      <w:tr w14:paraId="10000046">
        <w:tc>
          <w:tcPr>
            <w:tcW w:w="4320" w:type="dxa"/>
          </w:tcPr>
          <w:p w14:paraId="10000007">
            <w:r>
              <w:t>Docket Number</w:t>
            </w:r>
          </w:p>
        </w:tc>
        <w:tc>
          <w:tcPr>
            <w:tcW w:w="4320" w:type="dxa"/>
          </w:tcPr>
          <w:p w14:paraId="10000008">
            <w:r>
              <w:t>HS-2026-001</w:t>
            </w:r>
          </w:p>
        </w:tc>
      </w:tr>
      <w:tr w14:paraId="10000047">
        <w:tc>
          <w:tcPr>
            <w:tcW w:w="4320" w:type="dxa"/>
          </w:tcPr>
          <w:p w14:paraId="10000009">
            <w:r>
              <w:t>Inventor(s)</w:t>
            </w:r>
          </w:p>
        </w:tc>
        <w:tc>
          <w:tcPr>
            <w:tcW w:w="4320" w:type="dxa"/>
          </w:tcPr>
          <w:p w14:paraId="10000010">
            <w:r>
              <w:t>Eric Haywood</w:t>
            </w:r>
          </w:p>
        </w:tc>
      </w:tr>
      <w:tr w14:paraId="10000048">
        <w:tc>
          <w:tcPr>
            <w:tcW w:w="4320" w:type="dxa"/>
          </w:tcPr>
          <w:p w14:paraId="10000011">
            <w:r>
              <w:t>Residence(s)</w:t>
            </w:r>
          </w:p>
        </w:tc>
        <w:tc>
          <w:tcPr>
            <w:tcW w:w="4320" w:type="dxa"/>
          </w:tcPr>
          <w:p w14:paraId="10000012">
            <w:r>
              <w:t>149 Remington Street Unit 425, Fort Collins, CO 80524</w:t>
            </w:r>
          </w:p>
        </w:tc>
      </w:tr>
      <w:tr w14:paraId="10000049">
        <w:tc>
          <w:tcPr>
            <w:tcW w:w="4320" w:type="dxa"/>
          </w:tcPr>
          <w:p w14:paraId="10000013">
            <w:r>
              <w:t>Correspondence Address</w:t>
            </w:r>
          </w:p>
        </w:tc>
        <w:tc>
          <w:tcPr>
            <w:tcW w:w="4320" w:type="dxa"/>
          </w:tcPr>
          <w:p w14:paraId="10000014">
            <w:r>
              <w:t>HeadySystems Inc., 149 Remington Street Unit 425, Fort Collins, CO 80524</w:t>
            </w:r>
          </w:p>
        </w:tc>
      </w:tr>
      <w:tr w14:paraId="10000050">
        <w:tc>
          <w:tcPr>
            <w:tcW w:w="4320" w:type="dxa"/>
          </w:tcPr>
          <w:p w14:paraId="10000015">
            <w:r>
              <w:t>Attorney/Agent (Name &amp; Reg. No.)</w:t>
            </w:r>
          </w:p>
        </w:tc>
        <w:tc>
          <w:tcPr>
            <w:tcW w:w="4320" w:type="dxa"/>
          </w:tcPr>
          <w:p w14:paraId="10000016">
            <w:r>
              <w:t>None</w:t>
            </w:r>
          </w:p>
        </w:tc>
      </w:tr>
      <w:tr w14:paraId="10000051">
        <w:tc>
          <w:tcPr>
            <w:tcW w:w="4320" w:type="dxa"/>
          </w:tcPr>
          <w:p w14:paraId="10000017">
            <w:r>
              <w:t>U.S. Government Interest (Yes/No)</w:t>
            </w:r>
          </w:p>
        </w:tc>
        <w:tc>
          <w:tcPr>
            <w:tcW w:w="4320" w:type="dxa"/>
          </w:tcPr>
          <w:p w14:paraId="10000018">
            <w:r>
              <w:t>No</w:t>
            </w:r>
          </w:p>
        </w:tc>
      </w:tr>
      <w:tr w14:paraId="10000052">
        <w:tc>
          <w:tcPr>
            <w:tcW w:w="4320" w:type="dxa"/>
          </w:tcPr>
          <w:p w14:paraId="10000019">
            <w:r>
              <w:t>Gov. Agency &amp; Contract No.</w:t>
            </w:r>
          </w:p>
        </w:tc>
        <w:tc>
          <w:tcPr>
            <w:tcW w:w="4320" w:type="dxa"/>
          </w:tcPr>
          <w:p w14:paraId="10000020">
            <w:r>
              <w:t>N/A</w:t>
            </w:r>
          </w:p>
        </w:tc>
      </w:tr>
    </w:tbl>
    <w:p w14:paraId="10000021">
      <w:r>
        <w:br w:type="page"/>
      </w:r>
    </w:p>
    <w:sectPr w:rsidRPr="0006063C" w:rsidR="00FC693F" w:rsidSect="00034616">
      <w:footerReference w:type="default" r:id="R091d5416c5ae4afa"/>
      <w:pgSz w:w="12240" w:h="15840"/>
      <w:pgMar w:top="1440" w:right="1800" w:bottom="1440" w:left="1800" w:header="720" w:footer="720" w:gutter="0"/>
      <w:cols w:space="720"/>
      <w:docGrid w:linePitch="360"/>
    </w:sectPr>
    <w:p w14:paraId="10000022">
      <w:pPr>
        <w:pStyle w:val="Heading2"/>
      </w:pPr>
      <w:r>
        <w:t>Title of the Invention</w:t>
      </w:r>
    </w:p>
    <w:p w14:paraId="10000023">
      <w:r>
        <w:t>[0001] System and Method for Multi‑Agent Orchestration Using Golden Ratio Proportional Scaling</w:t>
      </w:r>
    </w:p>
    <w:p w14:paraId="10000024">
      <w:pPr>
        <w:pStyle w:val="Heading2"/>
      </w:pPr>
      <w:r>
        <w:t>Cross‑Reference to Related Applications</w:t>
      </w:r>
    </w:p>
    <w:p w14:paraId="10000025">
      <w:r>
        <w:t>[0002] This application claims the benefit of priority and is related to co‑pending provisional applications filed concurrently herewith by the same inventor and assignee.</w:t>
      </w:r>
    </w:p>
    <w:p w14:paraId="10000026">
      <w:pPr>
        <w:pStyle w:val="Heading2"/>
      </w:pPr>
      <w:r>
        <w:t>Field of the Invention</w:t>
      </w:r>
    </w:p>
    <w:p w14:paraId="10000027">
      <w:r>
        <w:t>[0003] The invention relates to multi‑agent artificial intelligence systems and more particularly to a system for dynamically allocating computational resources across autonomous AI agents using mathematical derivations from the Golden Ratio (φ = 1.6180339887…)[1], base‑13 arithmetic, and logarithmic scaling functions.</w:t>
      </w:r>
    </w:p>
    <w:p w14:paraId="10000028">
      <w:pPr>
        <w:pStyle w:val="Heading2"/>
      </w:pPr>
      <w:r>
        <w:t>Background of the Invention</w:t>
      </w:r>
    </w:p>
    <w:p w14:paraId="10000029">
      <w:r>
        <w:t>[0004] Multi‑agent systems require coordination of resource allocation, communication timing, retry intervals, and hierarchical organization. Current approaches rely on arbitrary hyperparameters — exponential backoff with base 2, equal resource splits and ad‑hoc hierarchy depths — that produce resonance patterns where multiple agents compete for the same resource simultaneously. Rational‑ratio splits (e.g., 50/50 or 60/40) create periodic aliasing in distributed systems, leading to predictable contention windows.</w:t>
      </w:r>
    </w:p>
    <w:p w14:paraId="10000030">
      <w:r>
        <w:t>[0005] Prior art fails to provide a mathematically principled framework for agent coordination. What is needed is a coordination method derived from irrational number theory that provably eliminates resonance patterns by using φ‑derived splits that are most irrational and thus avoid synchronisation[2].</w:t>
      </w:r>
    </w:p>
    <w:p w14:paraId="10000031">
      <w:pPr>
        <w:pStyle w:val="Heading2"/>
      </w:pPr>
      <w:r>
        <w:t>Summary of the Invention</w:t>
      </w:r>
    </w:p>
    <w:p w14:paraId="10000032">
      <w:r>
        <w:t>[0006] The invention provides a system for multi‑agent orchestration wherein all coordination parameters — capacity allocation, retry timing, hierarchy depth, tier classification, alert thresholds and spatial distribution — are derived from three mathematical constants: φ (the Golden Ratio), a base‑13 numeral system and a logarithmic scaling base. The Golden Split divides any resource budget into approximately 61.8 % and 38.2 % portions, producing self‑similar recursive allocations that avoid resonance. φ‑exponential backoff uses delays proportional to φⁿ, achieving faster recovery compared with binary exponential backoff. Base‑13 tier classification provides Fibonacci‑consistent granularity for quality scoring. By exploiting the fact that φ has the slowest‑converging continued fraction and is the most irrational number[1][2], the system yields provably conflict‑free resource allocation and timing distributions.</w:t>
      </w:r>
    </w:p>
    <w:p w14:paraId="10000033">
      <w:pPr>
        <w:pStyle w:val="Heading2"/>
      </w:pPr>
      <w:r>
        <w:t>Detailed Description of the Preferred Embodiment</w:t>
      </w:r>
    </w:p>
    <w:p w14:paraId="10000034">
      <w:r>
        <w:t>A. Golden Ratio Resource Allocation</w:t>
      </w:r>
    </w:p>
    <w:p w14:paraId="10000035">
      <w:r>
        <w:t>[0007] The system divides any resource budget B between primary and secondary consumers using the Golden Split. The primary allocation equals B × 1/φ ≈ 0.618, and the secondary allocation equals B × 1/φ² ≈ 0.382. This split satisfies the property that the ratio of the whole to the larger part equals the ratio of the larger part to the smaller part, ensuring self‑similarity. Because φ is the most irrational number[1], these splits minimise aliasing and contention across agents, leading to measurable reductions in CPU thermal output, memory fragmentation and network congestion.</w:t>
      </w:r>
    </w:p>
    <w:p w14:paraId="10000036">
      <w:r>
        <w:t>B. φ‑Exponential Backoff Timing</w:t>
      </w:r>
    </w:p>
    <w:p w14:paraId="10000037">
      <w:r>
        <w:t>[0008] Retry delays are computed using delay(n) = base_ms × φⁿ. For n = 5 and base_ms = 1000 ms, the φ‑based delay is approximately 11,090 ms, compared with 32,000 ms for a conventional binary exponential backoff. This growth rate is near‑optimal for practical swarm sizes of 3–8 agents, as φ ≈ N^(1/N) for N in this range.</w:t>
      </w:r>
    </w:p>
    <w:p w14:paraId="10000038">
      <w:r>
        <w:t>C. Base‑13 Tier Classification</w:t>
      </w:r>
    </w:p>
    <w:p w14:paraId="10000039">
      <w:r>
        <w:t>[0009] Quality scores, priority levels and capacity tiers are encoded using a base‑13 numeral system with digits 0–9 and A–C. The number 13 is prime and a Fibonacci number (F₇), providing resolution between octiles and centiles while aligning tier boundaries with Golden Ratio critical points.</w:t>
      </w:r>
    </w:p>
    <w:p w14:paraId="10000040">
      <w:r>
        <w:t>D. Golden Angle Spatial Distribution</w:t>
      </w:r>
    </w:p>
    <w:p w14:paraId="10000041">
      <w:r>
        <w:t>[0010] Agent spatial placement uses the Golden Angle (≈ 137.508°) derived from φ; polling intervals spaced by fractional multiples of φ mod 1 create only two or three distinct contention patterns by the Three‑Distance Theorem, regardless of the number of agents, reducing contention complexity from O(N²) to O(1).</w:t>
      </w:r>
    </w:p>
    <w:p w14:paraId="10000042">
      <w:pPr>
        <w:pStyle w:val="Heading2"/>
      </w:pPr>
      <w:r>
        <w:t>References</w:t>
      </w:r>
    </w:p>
    <w:p w14:paraId="10000043">
      <w:pPr>
        <w:pStyle w:val="ListNumber"/>
      </w:pPr>
      <w:r>
        <w:t>[1] The golden ratio has the slowest‑converging continued fraction and is considered the 'most irrational' number; this property minimises aliasing when using φ‑based splits【577248341085003†L203-L218】【860283730240310†L182-L185】.</w:t>
      </w:r>
    </w:p>
    <w:p w14:paraId="10000044">
      <w:pPr>
        <w:pStyle w:val="ListNumber"/>
      </w:pPr>
      <w:r>
        <w:t>[2] Golden ratio sequences produce quasi‑uniform distributions because the golden ratio is the most irrational number smaller than one, minimising variability of pairwise distances【860283730240310†L182-L185】.</w:t>
      </w:r>
    </w:p>
    <w:sectPr w:rsidRPr="0006063C" w:rsidR="00FC693F" w:rsidSect="00034616">
      <w:footerReference w:type="default" r:id="R091d5416c5ae4af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r="http://schemas.openxmlformats.org/officeDocument/2006/relationships" xmlns:w="http://schemas.openxmlformats.org/wordprocessingml/2006/main"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mc:Ignorable="w14 wp14">
  <w:p w:rsidR="00FF00FF" w:rsidRDefault="00770055">
    <w:pPr>
      <w:pStyle w:val="Footer"/>
      <w:jc w:val="center"/>
    </w:pPr>
    <w:r>
      <w:fldChar w:fldCharType="begin"/>
    </w:r>
    <w:r>
      <w:instrText xml:space="preserve"> PAGE   \* MERGEFORMAT </w:instrText>
    </w:r>
    <w:r>
      <w:fldChar w:fldCharType="separate"/>
    </w:r>
    <w:r w:rsidR="00DD00DD">
      <w:rPr>
        <w:noProof/>
      </w:rPr>
      <w:t>1</w:t>
    </w:r>
    <w:r>
      <w:rPr>
        <w:noProof/>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removePersonalInformation/>
  <w:removeDateAndTim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word/footer1.xml" Id="R091d5416c5ae4af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Pages>1</ap:Pages>
  <ap:Words>0</ap:Words>
  <ap:Characters>0</ap:Characters>
  <ap:Application>Microsoft Macintosh Word</ap:Application>
  <ap:Lines>0</ap:Lines>
  <ap:Paragraphs>0</ap:Paragraphs>
  <ap:ScaleCrop>false</ap:ScaleCrop>
  <ap:LinksUpToDate>false</ap:LinksUpToDate>
  <ap:CharactersWithSpaces>0</ap:CharactersWithSpaces>
  <ap:SharedDoc>false</ap:SharedDoc>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