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Pr>
        <w:jc w:val="center"/>
      </w:pPr>
      <w:r>
        <w:rPr>
          <w:i/>
          <w:sz w:val="24"/>
        </w:rPr>
        <w:t>Under 35 U.S.C. § 111(b)</w:t>
      </w:r>
    </w:p>
    <w:p w14:paraId="10000002"/>
    <w:p w14:paraId="10000003">
      <w:pPr>
        <w:jc w:val="center"/>
      </w:pPr>
      <w:r>
        <w:rPr>
          <w:b/>
          <w:sz w:val="28"/>
        </w:rPr>
        <w:t>UNIFIED ZERO-TRUST SOFTWARE PACKAGE COMPILATION PIPELINE WITH DETERMINISTIC AST VALIDATION</w:t>
      </w:r>
    </w:p>
    <w:p w14:paraId="10000004"/>
    <w:tbl>
      <w:tblPr>
        <w:tblStyle w:val="TableGrid"/>
        <w:tblW w:w="0" w:type="auto"/>
        <w:tblLook w:val="04A0" w:firstRow="1" w:lastRow="0" w:firstColumn="1" w:lastColumn="0" w:noHBand="0" w:noVBand="1"/>
      </w:tblPr>
      <w:tblGrid>
        <w:gridCol w:w="4320"/>
        <w:gridCol w:w="4320"/>
      </w:tblGrid>
      <w:tr w14:paraId="10000046">
        <w:tc>
          <w:tcPr>
            <w:tcW w:w="4320" w:type="dxa"/>
          </w:tcPr>
          <w:p w14:paraId="10000005">
            <w:r>
              <w:t>Title of the Invention</w:t>
            </w:r>
          </w:p>
        </w:tc>
        <w:tc>
          <w:tcPr>
            <w:tcW w:w="4320" w:type="dxa"/>
          </w:tcPr>
          <w:p w14:paraId="10000006">
            <w:r>
              <w:t>Unified Zero-Trust Software Package Compilation Pipeline with Deterministic AST Validation</w:t>
            </w:r>
          </w:p>
        </w:tc>
      </w:tr>
      <w:tr w14:paraId="10000047">
        <w:tc>
          <w:tcPr>
            <w:tcW w:w="4320" w:type="dxa"/>
          </w:tcPr>
          <w:p w14:paraId="10000007">
            <w:r>
              <w:t>Docket Number</w:t>
            </w:r>
          </w:p>
        </w:tc>
        <w:tc>
          <w:tcPr>
            <w:tcW w:w="4320" w:type="dxa"/>
          </w:tcPr>
          <w:p w14:paraId="10000008">
            <w:r>
              <w:t>HS-2026-004</w:t>
            </w:r>
          </w:p>
        </w:tc>
      </w:tr>
      <w:tr w14:paraId="10000048">
        <w:tc>
          <w:tcPr>
            <w:tcW w:w="4320" w:type="dxa"/>
          </w:tcPr>
          <w:p w14:paraId="10000009">
            <w:r>
              <w:t>Inventor(s)</w:t>
            </w:r>
          </w:p>
        </w:tc>
        <w:tc>
          <w:tcPr>
            <w:tcW w:w="4320" w:type="dxa"/>
          </w:tcPr>
          <w:p w14:paraId="10000010">
            <w:r>
              <w:t>Eric Haywood</w:t>
            </w:r>
          </w:p>
        </w:tc>
      </w:tr>
      <w:tr w14:paraId="10000049">
        <w:tc>
          <w:tcPr>
            <w:tcW w:w="4320" w:type="dxa"/>
          </w:tcPr>
          <w:p w14:paraId="10000011">
            <w:r>
              <w:t>Residence(s)</w:t>
            </w:r>
          </w:p>
        </w:tc>
        <w:tc>
          <w:tcPr>
            <w:tcW w:w="4320" w:type="dxa"/>
          </w:tcPr>
          <w:p w14:paraId="10000012">
            <w:r>
              <w:t>149 Remington Street Unit 425, Fort Collins, CO 80524</w:t>
            </w:r>
          </w:p>
        </w:tc>
      </w:tr>
      <w:tr w14:paraId="10000050">
        <w:tc>
          <w:tcPr>
            <w:tcW w:w="4320" w:type="dxa"/>
          </w:tcPr>
          <w:p w14:paraId="10000013">
            <w:r>
              <w:t>Correspondence Address</w:t>
            </w:r>
          </w:p>
        </w:tc>
        <w:tc>
          <w:tcPr>
            <w:tcW w:w="4320" w:type="dxa"/>
          </w:tcPr>
          <w:p w14:paraId="10000014">
            <w:r>
              <w:t>HeadySystems Inc., 149 Remington Street Unit 425, Fort Collins, CO 80524</w:t>
            </w:r>
          </w:p>
        </w:tc>
      </w:tr>
      <w:tr w14:paraId="10000051">
        <w:tc>
          <w:tcPr>
            <w:tcW w:w="4320" w:type="dxa"/>
          </w:tcPr>
          <w:p w14:paraId="10000015">
            <w:r>
              <w:t>Attorney/Agent (Name &amp; Reg. No.)</w:t>
            </w:r>
          </w:p>
        </w:tc>
        <w:tc>
          <w:tcPr>
            <w:tcW w:w="4320" w:type="dxa"/>
          </w:tcPr>
          <w:p w14:paraId="10000016">
            <w:r>
              <w:t>None</w:t>
            </w:r>
          </w:p>
        </w:tc>
      </w:tr>
      <w:tr w14:paraId="10000052">
        <w:tc>
          <w:tcPr>
            <w:tcW w:w="4320" w:type="dxa"/>
          </w:tcPr>
          <w:p w14:paraId="10000017">
            <w:r>
              <w:t>U.S. Government Interest (Yes/No)</w:t>
            </w:r>
          </w:p>
        </w:tc>
        <w:tc>
          <w:tcPr>
            <w:tcW w:w="4320" w:type="dxa"/>
          </w:tcPr>
          <w:p w14:paraId="10000018">
            <w:r>
              <w:t>No</w:t>
            </w:r>
          </w:p>
        </w:tc>
      </w:tr>
      <w:tr w14:paraId="10000053">
        <w:tc>
          <w:tcPr>
            <w:tcW w:w="4320" w:type="dxa"/>
          </w:tcPr>
          <w:p w14:paraId="10000019">
            <w:r>
              <w:t>Gov. Agency &amp; Contract No.</w:t>
            </w:r>
          </w:p>
        </w:tc>
        <w:tc>
          <w:tcPr>
            <w:tcW w:w="4320" w:type="dxa"/>
          </w:tcPr>
          <w:p w14:paraId="10000020">
            <w:r>
              <w:t>N/A</w:t>
            </w:r>
          </w:p>
        </w:tc>
      </w:tr>
    </w:tbl>
    <w:p w14:paraId="10000021">
      <w:r>
        <w:br w:type="page"/>
      </w:r>
    </w:p>
    <w:sectPr w:rsidRPr="0006063C" w:rsidR="00FC693F" w:rsidSect="00034616">
      <w:footerReference w:type="default" r:id="R8b3ed44a1f7648a5"/>
      <w:pgSz w:w="12240" w:h="15840"/>
      <w:pgMar w:top="1440" w:right="1800" w:bottom="1440" w:left="1800" w:header="720" w:footer="720" w:gutter="0"/>
      <w:cols w:space="720"/>
      <w:docGrid w:linePitch="360"/>
    </w:sectPr>
    <w:p w14:paraId="10000022">
      <w:pPr>
        <w:pStyle w:val="Heading2"/>
      </w:pPr>
      <w:r>
        <w:t>Title of the Invention</w:t>
      </w:r>
    </w:p>
    <w:p w14:paraId="10000023">
      <w:r>
        <w:t>[0001] Unified Zero‑Trust Software Package Compilation Pipeline with Deterministic AST Validation</w:t>
      </w:r>
    </w:p>
    <w:p w14:paraId="10000024">
      <w:pPr>
        <w:pStyle w:val="Heading2"/>
      </w:pPr>
      <w:r>
        <w:t>Cross‑Reference to Related Applications</w:t>
      </w:r>
    </w:p>
    <w:p w14:paraId="10000025">
      <w:r>
        <w:t>[0002] This application is related to co‑pending provisional applications Docket Nos. HS‑2026‑001 through HS‑2026‑003, filed concurrently herewith by the same inventor and assignee.</w:t>
      </w:r>
    </w:p>
    <w:p w14:paraId="10000026">
      <w:pPr>
        <w:pStyle w:val="Heading2"/>
      </w:pPr>
      <w:r>
        <w:t>Field of the Invention</w:t>
      </w:r>
    </w:p>
    <w:p w14:paraId="10000027">
      <w:r>
        <w:t>[0003] The invention relates to software security and DevSecOps automation, and more particularly to a deterministic method for software packaging whereby abstract syntax tree anomalies and execution header irregularities directly inhibit the generation of executable deployment structures.</w:t>
      </w:r>
    </w:p>
    <w:p w14:paraId="10000028">
      <w:pPr>
        <w:pStyle w:val="Heading2"/>
      </w:pPr>
      <w:r>
        <w:t>Background of the Invention</w:t>
      </w:r>
    </w:p>
    <w:p w14:paraId="10000029">
      <w:r>
        <w:t>[0004] Current CI/CD pipelines perform security validation as discrete, independently bypassable stages. AST analysis is typically separated from package‑level static analysis, leaving security gaps where cross‑site scripting (XSS) vulnerabilities, interpreter hijacking, and invalid module structures can reach production.</w:t>
      </w:r>
    </w:p>
    <w:p w14:paraId="10000030">
      <w:r>
        <w:t>[0005] DOM‑based XSS occurs when attacker‑controlled data is passed to JavaScript sinks such as innerHTML, outerHTML or insertAdjacentHTML, allowing arbitrary script execution【465509786264939†L150-L156】. These functions should therefore be banned within untrusted code[1].</w:t>
      </w:r>
    </w:p>
    <w:p w14:paraId="10000031">
      <w:r>
        <w:t>[0006] Malformed shebang lines at byte position 0 of executable scripts can redirect execution to malicious interpreters. Using /usr/bin/env may resolve interpreters via the PATH environment variable; if a malicious script is earlier in the PATH, env may call it[2]. Existing pipelines lack unified enforcement of these checks.</w:t>
      </w:r>
    </w:p>
    <w:p w14:paraId="10000032">
      <w:pPr>
        <w:pStyle w:val="Heading2"/>
      </w:pPr>
      <w:r>
        <w:t>Summary of the Invention</w:t>
      </w:r>
    </w:p>
    <w:p w14:paraId="10000033">
      <w:r>
        <w:t>[0007] The invention provides a unified zero‑trust compilation pipeline consisting of five sequential, non‑bypassable validation stages: (1) shebang regex validation; (2) AST security scanning to block DOM manipulation functions like innerHTML, outerHTML, insertAdjacentHTML, document.write and eval[1]; (3) static ES6 module structure verification; (4) cryptographic aggregation of all validation failures into a SHA‑256 hash; and (5) unconditional compilation abort if any failure occurs. No administrative override can bypass a failure.</w:t>
      </w:r>
    </w:p>
    <w:p w14:paraId="10000034">
      <w:pPr>
        <w:pStyle w:val="Heading2"/>
      </w:pPr>
      <w:r>
        <w:t>Detailed Description of the Preferred Embodiment</w:t>
      </w:r>
    </w:p>
    <w:p w14:paraId="10000035">
      <w:r>
        <w:t>A. Shebang Validation</w:t>
      </w:r>
    </w:p>
    <w:p w14:paraId="10000036">
      <w:r>
        <w:t>[0008] At stage 1, the pipeline validates interpreter invocation strings at byte position 0. A regex matches only approved interpreters (e.g., #!/usr/bin/python3, #!/usr/bin/env node). Any deviation from the whitelist is recorded as a failure. This prevents interpreter hijacking arising from malicious PATH traversal[2].</w:t>
      </w:r>
    </w:p>
    <w:p w14:paraId="10000037">
      <w:r>
        <w:t>B. AST Security Scanning</w:t>
      </w:r>
    </w:p>
    <w:p w14:paraId="10000038">
      <w:r>
        <w:t>[0009] Each source file is parsed into an AST. The scanner rejects any code containing calls to innerHTML, outerHTML, insertAdjacentHTML, document.write or eval, preventing DOM‑based XSS[1].</w:t>
      </w:r>
    </w:p>
    <w:p w14:paraId="10000039">
      <w:r>
        <w:t>C. ES6 Module Verification</w:t>
      </w:r>
    </w:p>
    <w:p w14:paraId="10000040">
      <w:r>
        <w:t>[0010] The verifier confirms import/export validity, ensuring that all modules exist and that no circular dependencies exist below a configurable depth.</w:t>
      </w:r>
    </w:p>
    <w:p w14:paraId="10000041">
      <w:r>
        <w:t>D. Failure Aggregation and Abort</w:t>
      </w:r>
    </w:p>
    <w:p w14:paraId="10000042">
      <w:r>
        <w:t>[0011] All failures are aggregated into a serialized data structure and hashed using SHA‑256. If the failure hash is non‑empty, compilation is unconditionally aborted. The failure hash is persisted as an immutable audit record.</w:t>
      </w:r>
    </w:p>
    <w:p w14:paraId="10000043">
      <w:pPr>
        <w:pStyle w:val="Heading2"/>
      </w:pPr>
      <w:r>
        <w:t>References</w:t>
      </w:r>
    </w:p>
    <w:p w14:paraId="10000044">
      <w:pPr>
        <w:pStyle w:val="ListNumber"/>
      </w:pPr>
      <w:r>
        <w:t>[1] DOM‑based XSS occurs when attacker‑controlled data is passed to sinks such as innerHTML, outerHTML or insertAdjacentHTML; these functions can enable arbitrary script execution【465509786264939†L150-L156】.</w:t>
      </w:r>
    </w:p>
    <w:p w14:paraId="10000045">
      <w:pPr>
        <w:pStyle w:val="ListNumber"/>
      </w:pPr>
      <w:r>
        <w:t>[2] Malicious scripts can hijack the interpreter specified by a shebang line if the interpreter path is resolved via $PATH (e.g., /usr/bin/env), highlighting the need to validate shebangs【869499246312107†L52-L60】.</w:t>
      </w:r>
    </w:p>
    <w:sectPr w:rsidRPr="0006063C" w:rsidR="00FC693F" w:rsidSect="00034616">
      <w:footerReference w:type="default" r:id="R8b3ed44a1f7648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mc:Ignorable="w14 wp14">
  <w:p w:rsidR="00FF00FF" w:rsidRDefault="00770055">
    <w:pPr>
      <w:pStyle w:val="Footer"/>
      <w:jc w:val="center"/>
    </w:pPr>
    <w:r>
      <w:fldChar w:fldCharType="begin"/>
    </w:r>
    <w:r>
      <w:instrText xml:space="preserve"> PAGE   \* MERGEFORMAT </w:instrText>
    </w:r>
    <w:r>
      <w:fldChar w:fldCharType="separate"/>
    </w:r>
    <w:r w:rsidR="00DD00DD">
      <w:rPr>
        <w:noProof/>
      </w:rPr>
      <w:t>1</w:t>
    </w:r>
    <w:r>
      <w:rPr>
        <w:noProof/>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word/footer1.xml" Id="R8b3ed44a1f7648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