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PROVISIONAL PATENT APPLICATION</w:t>
      </w:r>
    </w:p>
    <w:p>
      <w:pPr>
        <w:jc w:val="center"/>
      </w:pPr>
      <w:r>
        <w:rPr>
          <w:i/>
          <w:sz w:val="24"/>
        </w:rPr>
        <w:t>Under 35 U.S.C. § 111(b)</w:t>
      </w:r>
    </w:p>
    <w:p/>
    <w:p>
      <w:pPr>
        <w:jc w:val="center"/>
      </w:pPr>
      <w:r>
        <w:rPr>
          <w:b/>
          <w:sz w:val="28"/>
        </w:rPr>
        <w:t>SYSTEM AND METHOD FOR THREE-DIMENSIONAL SPATIAL INDEXING OF AI AGENT MEMORY USING OCTREE DATA STRUCTURES</w:t>
      </w:r>
    </w:p>
    <w:p/>
    <w:tbl>
      <w:tblPr>
        <w:tblStyle w:val="TableGrid"/>
        <w:tblW w:type="auto" w:w="0"/>
        <w:tblLook w:firstColumn="1" w:firstRow="1" w:lastColumn="0" w:lastRow="0" w:noHBand="0" w:noVBand="1" w:val="04A0"/>
      </w:tblPr>
      <w:tblGrid>
        <w:gridCol w:w="4320"/>
        <w:gridCol w:w="4320"/>
      </w:tblGrid>
      <w:tr>
        <w:tc>
          <w:tcPr>
            <w:tcW w:type="dxa" w:w="4320"/>
          </w:tcPr>
          <w:p>
            <w:r>
              <w:t>Title of the Invention</w:t>
            </w:r>
          </w:p>
        </w:tc>
        <w:tc>
          <w:tcPr>
            <w:tcW w:type="dxa" w:w="4320"/>
          </w:tcPr>
          <w:p>
            <w:r>
              <w:t>System and Method for Three-Dimensional Spatial Indexing of AI Agent Memory Using Octree Data Structures</w:t>
            </w:r>
          </w:p>
        </w:tc>
      </w:tr>
      <w:tr>
        <w:tc>
          <w:tcPr>
            <w:tcW w:type="dxa" w:w="4320"/>
          </w:tcPr>
          <w:p>
            <w:r>
              <w:t>Docket Number</w:t>
            </w:r>
          </w:p>
        </w:tc>
        <w:tc>
          <w:tcPr>
            <w:tcW w:type="dxa" w:w="4320"/>
          </w:tcPr>
          <w:p>
            <w:r>
              <w:t>HS-2026-002</w:t>
            </w:r>
          </w:p>
        </w:tc>
      </w:tr>
      <w:tr>
        <w:tc>
          <w:tcPr>
            <w:tcW w:type="dxa" w:w="4320"/>
          </w:tcPr>
          <w:p>
            <w:r>
              <w:t>Inventor(s)</w:t>
            </w:r>
          </w:p>
        </w:tc>
        <w:tc>
          <w:tcPr>
            <w:tcW w:type="dxa" w:w="4320"/>
          </w:tcPr>
          <w:p>
            <w:r>
              <w:t>Eric Haywood</w:t>
            </w:r>
          </w:p>
        </w:tc>
      </w:tr>
      <w:tr>
        <w:tc>
          <w:tcPr>
            <w:tcW w:type="dxa" w:w="4320"/>
          </w:tcPr>
          <w:p>
            <w:r>
              <w:t>Residence(s)</w:t>
            </w:r>
          </w:p>
        </w:tc>
        <w:tc>
          <w:tcPr>
            <w:tcW w:type="dxa" w:w="4320"/>
          </w:tcPr>
          <w:p>
            <w:r>
              <w:t>149 Remington Street Unit 425, Fort Collins, CO 80524</w:t>
            </w:r>
          </w:p>
        </w:tc>
      </w:tr>
      <w:tr>
        <w:tc>
          <w:tcPr>
            <w:tcW w:type="dxa" w:w="4320"/>
          </w:tcPr>
          <w:p>
            <w:r>
              <w:t>Correspondence Address</w:t>
            </w:r>
          </w:p>
        </w:tc>
        <w:tc>
          <w:tcPr>
            <w:tcW w:type="dxa" w:w="4320"/>
          </w:tcPr>
          <w:p>
            <w:r>
              <w:t>HeadySystems Inc., 149 Remington Street Unit 425, Fort Collins, CO 80524</w:t>
            </w:r>
          </w:p>
        </w:tc>
      </w:tr>
      <w:tr>
        <w:tc>
          <w:tcPr>
            <w:tcW w:type="dxa" w:w="4320"/>
          </w:tcPr>
          <w:p>
            <w:r>
              <w:t>Attorney/Agent (Name &amp; Reg. No.)</w:t>
            </w:r>
          </w:p>
        </w:tc>
        <w:tc>
          <w:tcPr>
            <w:tcW w:type="dxa" w:w="4320"/>
          </w:tcPr>
          <w:p>
            <w:r>
              <w:t>None</w:t>
            </w:r>
          </w:p>
        </w:tc>
      </w:tr>
      <w:tr>
        <w:tc>
          <w:tcPr>
            <w:tcW w:type="dxa" w:w="4320"/>
          </w:tcPr>
          <w:p>
            <w:r>
              <w:t>U.S. Government Interest (Yes/No)</w:t>
            </w:r>
          </w:p>
        </w:tc>
        <w:tc>
          <w:tcPr>
            <w:tcW w:type="dxa" w:w="4320"/>
          </w:tcPr>
          <w:p>
            <w:r>
              <w:t>No</w:t>
            </w:r>
          </w:p>
        </w:tc>
      </w:tr>
      <w:tr>
        <w:tc>
          <w:tcPr>
            <w:tcW w:type="dxa" w:w="4320"/>
          </w:tcPr>
          <w:p>
            <w:r>
              <w:t>Gov. Agency &amp; Contract No.</w:t>
            </w:r>
          </w:p>
        </w:tc>
        <w:tc>
          <w:tcPr>
            <w:tcW w:type="dxa" w:w="4320"/>
          </w:tcPr>
          <w:p>
            <w:r>
              <w:t>N/A</w:t>
            </w:r>
          </w:p>
        </w:tc>
      </w:tr>
    </w:tbl>
    <w:p>
      <w:r>
        <w:br w:type="page"/>
      </w:r>
    </w:p>
    <w:sectPr w:rsidR="00FC693F" w:rsidRPr="0006063C" w:rsidSect="00034616">
      <w:pgSz w:w="12240" w:h="15840"/>
      <w:pgMar w:top="1440" w:right="1800" w:bottom="1440" w:left="1800" w:header="720" w:footer="720" w:gutter="0"/>
      <w:cols w:space="720"/>
      <w:docGrid w:linePitch="360"/>
    </w:sectPr>
    <w:p>
      <w:pPr>
        <w:pStyle w:val="Heading2"/>
      </w:pPr>
      <w:r>
        <w:t>Title of the Invention</w:t>
      </w:r>
    </w:p>
    <w:p>
      <w:r>
        <w:t>[0001] System and Method for Three‑Dimensional Spatial Indexing of AI Agent Memory Using Octree Data Structures</w:t>
      </w:r>
    </w:p>
    <w:p>
      <w:pPr>
        <w:pStyle w:val="Heading2"/>
      </w:pPr>
      <w:r>
        <w:t>Cross‑Reference to Related Applications</w:t>
      </w:r>
    </w:p>
    <w:p>
      <w:r>
        <w:t>[0002] This application is related to co‑pending provisional application Docket No. HS‑2026‑001, filed concurrently herewith by the same inventor and assignee.</w:t>
      </w:r>
    </w:p>
    <w:p>
      <w:pPr>
        <w:pStyle w:val="Heading2"/>
      </w:pPr>
      <w:r>
        <w:t>Field of the Invention</w:t>
      </w:r>
    </w:p>
    <w:p>
      <w:r>
        <w:t>[0003] The invention relates to data structures and memory architectures for artificial intelligence systems, and more particularly to a method for storing, retrieving and operating upon AI agent knowledge using a three‑dimensional Cartesian coordinate system indexed by octree spatial data structures with O(log n) retrieval and high memory efficiency[1][2].</w:t>
      </w:r>
    </w:p>
    <w:p>
      <w:pPr>
        <w:pStyle w:val="Heading2"/>
      </w:pPr>
      <w:r>
        <w:t>Background of the Invention</w:t>
      </w:r>
    </w:p>
    <w:p>
      <w:r>
        <w:t>[0004] Current AI memory systems store knowledge as high‑dimensional embedding vectors (768–1536 dimensions) and retrieve similar entries via cosine similarity search, requiring O(n) comparisons. Each vector consumes thousands of bytes, causing memory pressure for millions of entries.</w:t>
      </w:r>
    </w:p>
    <w:p>
      <w:r>
        <w:t>[0005] Approximate nearest‑neighbor structures such as HNSW and IVF trade accuracy for speed but remain constrained by the high dimensionality. A memory‑efficient, dimensionally reduced representation that maintains semantic meaning while enabling O(log n) retrieval is needed.</w:t>
      </w:r>
    </w:p>
    <w:p>
      <w:pPr>
        <w:pStyle w:val="Heading2"/>
      </w:pPr>
      <w:r>
        <w:t>Summary of the Invention</w:t>
      </w:r>
    </w:p>
    <w:p>
      <w:r>
        <w:t>[0006] The invention encodes AI agent memory as three‑dimensional Cartesian coordinates. The X‑axis encodes semantic domain using Golden Angle distribution, ensuring uniform spacing due to the Golden Ratio’s maximal irrationality[3]. The Y‑axis encodes temporal state via normalised timestamps, and the Z‑axis encodes hierarchy level as φ^(−depth). Each entry requires three 32‑bit floats (12 bytes), achieving approximately 250× memory reduction compared with traditional embeddings.</w:t>
      </w:r>
    </w:p>
    <w:p>
      <w:r>
        <w:t>[0007] The 3D space is indexed using an octree data structure where each internal node has eight children and recursively subdivides space into octants[1]. Octree operations (search, insert, delete) run in O(log N) time and the structure is memory efficient because the tree size can be limited and leaf nodes can be pruned[2]. When a leaf node contains more than 13 items, it subdivides into eight children; range, radius and k‑nearest‑neighbor queries operate in O(log n + k) time.</w:t>
      </w:r>
    </w:p>
    <w:p>
      <w:pPr>
        <w:pStyle w:val="Heading2"/>
      </w:pPr>
      <w:r>
        <w:t>Detailed Description of the Preferred Embodiment</w:t>
      </w:r>
    </w:p>
    <w:p>
      <w:r>
        <w:t>A. Semantic X‑Axis Encoding</w:t>
      </w:r>
    </w:p>
    <w:p>
      <w:r>
        <w:t>[0008] Domains are mapped to positions in [0, 1] using the Golden Angle (n × φ⁻¹ mod 1.0). Within a domain, a SHA‑256 hash of content provides ±5 % perturbations to ensure intra‑domain spread.</w:t>
      </w:r>
    </w:p>
    <w:p>
      <w:r>
        <w:t>B. Temporal Y‑Axis Encoding</w:t>
      </w:r>
    </w:p>
    <w:p>
      <w:r>
        <w:t>[0009] Timestamps are normalised to [0, 1] within a temporal window (e.g., 30 days). Old memories decay toward Y = 0 and can be pruned efficiently.</w:t>
      </w:r>
    </w:p>
    <w:p>
      <w:r>
        <w:t>C. Hierarchy Z‑Axis Encoding</w:t>
      </w:r>
    </w:p>
    <w:p>
      <w:r>
        <w:t>[0010] Agent depth is encoded as φ^(−depth), so root agents occupy Z = 1.0 and deeper agents decay toward zero. The golden ratio ensures non‑coincident spacing across levels.</w:t>
      </w:r>
    </w:p>
    <w:p>
      <w:r>
        <w:t>D. Octree Spatial Index</w:t>
      </w:r>
    </w:p>
    <w:p>
      <w:r>
        <w:t>[0011] The octree uses base‑13 subdivision: maximum 13 items per leaf and maximum depth 13 levels. Range, radius and k‑nearest‑neighbor queries are supported with logarithmic complexity. Namespaces of the form vw:{site}:{userId}:{deviceId} provide cross‑user isolation and cross‑device continuity.</w:t>
      </w:r>
    </w:p>
    <w:p>
      <w:pPr>
        <w:pStyle w:val="Heading2"/>
      </w:pPr>
      <w:r>
        <w:t>References</w:t>
      </w:r>
    </w:p>
    <w:p>
      <w:pPr>
        <w:pStyle w:val="ListNumber"/>
      </w:pPr>
      <w:r>
        <w:t>[1] An octree is a tree in which each internal node has eight children and partitions 3D space by recursively subdividing it into octants【135796677921791†L152-L159】.</w:t>
      </w:r>
    </w:p>
    <w:p>
      <w:pPr>
        <w:pStyle w:val="ListNumber"/>
      </w:pPr>
      <w:r>
        <w:t>[2] Octrees offer O(log N) search, insert and delete operations and are memory efficient due to pruning of leaf nodes【135796677921791†L152-L159】【135796677921791†L221-L229】.</w:t>
      </w:r>
    </w:p>
    <w:p>
      <w:pPr>
        <w:pStyle w:val="ListNumber"/>
      </w:pPr>
      <w:r>
        <w:t>[3] Golden ratio sequences ensure uniform domain spacing because the golden ratio is the most irrational number, yielding low‑discrepancy distributions【860283730240310†L182-L185】.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