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PROVISIONAL PATENT APPLICATION</w:t>
      </w:r>
    </w:p>
    <w:p>
      <w:pPr>
        <w:jc w:val="center"/>
      </w:pPr>
      <w:r>
        <w:rPr>
          <w:i/>
          <w:sz w:val="24"/>
        </w:rPr>
        <w:t>Under 35 U.S.C. § 111(b)</w:t>
      </w:r>
    </w:p>
    <w:p/>
    <w:p>
      <w:pPr>
        <w:jc w:val="center"/>
      </w:pPr>
      <w:r>
        <w:rPr>
          <w:b/>
          <w:sz w:val="28"/>
        </w:rPr>
        <w:t>HEADLESS CLOUD-NATIVE SEQUENCER WITH LATENCY-COMPENSATED DISTRIBUTED DAW SYNCHRONIZATION</w:t>
      </w:r>
    </w:p>
    <w:p/>
    <w:tbl>
      <w:tblPr>
        <w:tblStyle w:val="TableGrid"/>
        <w:tblW w:type="auto" w:w="0"/>
        <w:tblLook w:firstColumn="1" w:firstRow="1" w:lastColumn="0" w:lastRow="0" w:noHBand="0" w:noVBand="1" w:val="04A0"/>
      </w:tblPr>
      <w:tblGrid>
        <w:gridCol w:w="4320"/>
        <w:gridCol w:w="4320"/>
      </w:tblGrid>
      <w:tr>
        <w:tc>
          <w:tcPr>
            <w:tcW w:type="dxa" w:w="4320"/>
          </w:tcPr>
          <w:p>
            <w:r>
              <w:t>Title of the Invention</w:t>
            </w:r>
          </w:p>
        </w:tc>
        <w:tc>
          <w:tcPr>
            <w:tcW w:type="dxa" w:w="4320"/>
          </w:tcPr>
          <w:p>
            <w:r>
              <w:t>Headless Cloud-Native Sequencer with Latency-Compensated Distributed DAW Synchronization</w:t>
            </w:r>
          </w:p>
        </w:tc>
      </w:tr>
      <w:tr>
        <w:tc>
          <w:tcPr>
            <w:tcW w:type="dxa" w:w="4320"/>
          </w:tcPr>
          <w:p>
            <w:r>
              <w:t>Docket Number</w:t>
            </w:r>
          </w:p>
        </w:tc>
        <w:tc>
          <w:tcPr>
            <w:tcW w:type="dxa" w:w="4320"/>
          </w:tcPr>
          <w:p>
            <w:r>
              <w:t>HS-2026-003</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 (Name &amp; Reg. No.)</w:t>
            </w:r>
          </w:p>
        </w:tc>
        <w:tc>
          <w:tcPr>
            <w:tcW w:type="dxa" w:w="4320"/>
          </w:tcPr>
          <w:p>
            <w:r>
              <w:t>None</w:t>
            </w:r>
          </w:p>
        </w:tc>
      </w:tr>
      <w:tr>
        <w:tc>
          <w:tcPr>
            <w:tcW w:type="dxa" w:w="4320"/>
          </w:tcPr>
          <w:p>
            <w:r>
              <w:t>U.S. Government Interest (Yes/No)</w:t>
            </w:r>
          </w:p>
        </w:tc>
        <w:tc>
          <w:tcPr>
            <w:tcW w:type="dxa" w:w="4320"/>
          </w:tcPr>
          <w:p>
            <w:r>
              <w:t>No</w:t>
            </w:r>
          </w:p>
        </w:tc>
      </w:tr>
      <w:tr>
        <w:tc>
          <w:tcPr>
            <w:tcW w:type="dxa" w:w="4320"/>
          </w:tcPr>
          <w:p>
            <w:r>
              <w:t>Gov. Agency &amp; Contract No.</w:t>
            </w:r>
          </w:p>
        </w:tc>
        <w:tc>
          <w:tcPr>
            <w:tcW w:type="dxa" w:w="4320"/>
          </w:tcPr>
          <w:p>
            <w:r>
              <w:t>N/A</w:t>
            </w:r>
          </w:p>
        </w:tc>
      </w:tr>
    </w:tbl>
    <w:p>
      <w:r>
        <w:br w:type="page"/>
      </w:r>
    </w:p>
    <w:sectPr w:rsidR="00FC693F" w:rsidRPr="0006063C" w:rsidSect="00034616">
      <w:pgSz w:w="12240" w:h="15840"/>
      <w:pgMar w:top="1440" w:right="1800" w:bottom="1440" w:left="1800" w:header="720" w:footer="720" w:gutter="0"/>
      <w:cols w:space="720"/>
      <w:docGrid w:linePitch="360"/>
    </w:sectPr>
    <w:p>
      <w:pPr>
        <w:pStyle w:val="Heading2"/>
      </w:pPr>
      <w:r>
        <w:t>Title of the Invention</w:t>
      </w:r>
    </w:p>
    <w:p>
      <w:r>
        <w:t>[0001] Headless Cloud‑Native Sequencer with Latency‑Compensated Distributed DAW Synchronization</w:t>
      </w:r>
    </w:p>
    <w:p>
      <w:pPr>
        <w:pStyle w:val="Heading2"/>
      </w:pPr>
      <w:r>
        <w:t>Cross‑Reference to Related Applications</w:t>
      </w:r>
    </w:p>
    <w:p>
      <w:r>
        <w:t>[0002] This application is related to co‑pending provisional applications Docket Nos. HS‑2026‑001 and HS‑2026‑002, filed concurrently herewith by the same inventor and assignee.</w:t>
      </w:r>
    </w:p>
    <w:p>
      <w:pPr>
        <w:pStyle w:val="Heading2"/>
      </w:pPr>
      <w:r>
        <w:t>Field of the Invention</w:t>
      </w:r>
    </w:p>
    <w:p>
      <w:r>
        <w:t>[0003] The invention relates to real‑time multimedia synchronisation over computer networks, and more particularly to a headless cloud‑native MIDI sequencer acting as an absolute master clock for globally distributed live performance with sub‑millisecond timeline fidelity.</w:t>
      </w:r>
    </w:p>
    <w:p>
      <w:pPr>
        <w:pStyle w:val="Heading2"/>
      </w:pPr>
      <w:r>
        <w:t>Background of the Invention</w:t>
      </w:r>
    </w:p>
    <w:p>
      <w:r>
        <w:t>[0004] Live musical performance across geographically distributed participants requires precise temporal synchronisation. TCP’s guaranteed delivery mechanism introduces queueing delays incompatible with real‑time music, where latency must be below the perceptual threshold. Sound travels at about 1 foot per millisecond; two musicians 15 feet apart experience roughly 15 ms latency, which is tolerable[1]. User studies indicate that one‑way audio delays above about 40 ms disrupt performance, whereas delays below 40 ms are generally acceptable[2].</w:t>
      </w:r>
    </w:p>
    <w:p>
      <w:pPr>
        <w:pStyle w:val="Heading2"/>
      </w:pPr>
      <w:r>
        <w:t>Summary of the Invention</w:t>
      </w:r>
    </w:p>
    <w:p>
      <w:r>
        <w:t>[0005] The invention provides a cloud‑native sequencer that serves as the absolute master clock for distributed digital audio workstations (DAWs). The sequencer maintains microsecond‑precision timing, broadcasts the master clock to participants via low‑latency UDP, and compensates for network jitter and latency. Clients calculate round‑trip latency and adjust playback positions accordingly. A jitter buffer ensures that audio and MIDI messages remain aligned within the 40 ms perceptual window.</w:t>
      </w:r>
    </w:p>
    <w:p>
      <w:pPr>
        <w:pStyle w:val="Heading2"/>
      </w:pPr>
      <w:r>
        <w:t>Detailed Description of the Preferred Embodiment</w:t>
      </w:r>
    </w:p>
    <w:p>
      <w:r>
        <w:t>A. Master Clock Architecture</w:t>
      </w:r>
    </w:p>
    <w:p>
      <w:r>
        <w:t>[0006] The sequencer runs in a headless cloud environment with high‑precision timers. It publishes the current tick via a gRPC and WebSocket interface. Clients subscribe and receive periodic clock packets containing the current tick and scheduled future ticks.</w:t>
      </w:r>
    </w:p>
    <w:p>
      <w:r>
        <w:t>B. Latency Measurement and Compensation</w:t>
      </w:r>
    </w:p>
    <w:p>
      <w:r>
        <w:t>[0007] Clients measure round‑trip latency to the master clock using ping messages. Each client adjusts its local playback position by subtracting half of the round‑trip time. The system monitors latency drift and applies small adjustments to keep all clients synchronised within ±5 ms.</w:t>
      </w:r>
    </w:p>
    <w:p>
      <w:r>
        <w:t>C. Jitter Buffering and Tolerable Latency</w:t>
      </w:r>
    </w:p>
    <w:p>
      <w:r>
        <w:t>[0008] A jitter buffer holds incoming MIDI events for a configurable duration (e.g., 30 ms) to absorb network variation. Because delays above 40 ms become disruptive for musicians[2], the system ensures that the sum of network latency and jitter buffer stays below this threshold. Additional strategies include forward error correction and redundancy to mitigate packet loss.</w:t>
      </w:r>
    </w:p>
    <w:p>
      <w:pPr>
        <w:pStyle w:val="Heading2"/>
      </w:pPr>
      <w:r>
        <w:t>References</w:t>
      </w:r>
    </w:p>
    <w:p>
      <w:pPr>
        <w:pStyle w:val="ListNumber"/>
      </w:pPr>
      <w:r>
        <w:t>[1] The latency of sound in air is roughly 1 ms per foot; two musicians 15 feet apart experience about 15 ms latency, which is tolerable for live performance【263500279240673†L42-L49】.</w:t>
      </w:r>
    </w:p>
    <w:p>
      <w:pPr>
        <w:pStyle w:val="ListNumber"/>
      </w:pPr>
      <w:r>
        <w:t>[2] User studies show that network music becomes disruptive when one‑way audio delay exceeds about 40 ms; delays below 40 ms are generally acceptable【253068863342350†L1096-L1123】.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