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PROVISIONAL PATENT APPLICATION</w:t>
      </w:r>
    </w:p>
    <w:p>
      <w:pPr>
        <w:jc w:val="center"/>
      </w:pPr>
      <w:r>
        <w:rPr>
          <w:i/>
          <w:sz w:val="24"/>
        </w:rPr>
        <w:t>Under 35 U.S.C. § 111(b)</w:t>
      </w:r>
    </w:p>
    <w:p/>
    <w:p>
      <w:pPr>
        <w:jc w:val="center"/>
      </w:pPr>
      <w:r>
        <w:rPr>
          <w:b/>
          <w:sz w:val="28"/>
        </w:rPr>
        <w:t>PREDICTIVE CROSS-VECTOR THREAT MODELING SYSTEM WITH TIME-REVERSAL NETWORK FORENSICS</w:t>
      </w:r>
    </w:p>
    <w:p/>
    <w:tbl>
      <w:tblPr>
        <w:tblStyle w:val="TableGrid"/>
        <w:tblW w:type="auto" w:w="0"/>
        <w:tblLook w:firstColumn="1" w:firstRow="1" w:lastColumn="0" w:lastRow="0" w:noHBand="0" w:noVBand="1" w:val="04A0"/>
      </w:tblPr>
      <w:tblGrid>
        <w:gridCol w:w="4320"/>
        <w:gridCol w:w="4320"/>
      </w:tblGrid>
      <w:tr>
        <w:tc>
          <w:tcPr>
            <w:tcW w:type="dxa" w:w="4320"/>
          </w:tcPr>
          <w:p>
            <w:r>
              <w:t>Title of the Invention</w:t>
            </w:r>
          </w:p>
        </w:tc>
        <w:tc>
          <w:tcPr>
            <w:tcW w:type="dxa" w:w="4320"/>
          </w:tcPr>
          <w:p>
            <w:r>
              <w:t>Predictive Cross-Vector Threat Modeling System with Time-Reversal Network Forensics</w:t>
            </w:r>
          </w:p>
        </w:tc>
      </w:tr>
      <w:tr>
        <w:tc>
          <w:tcPr>
            <w:tcW w:type="dxa" w:w="4320"/>
          </w:tcPr>
          <w:p>
            <w:r>
              <w:t>Docket Number</w:t>
            </w:r>
          </w:p>
        </w:tc>
        <w:tc>
          <w:tcPr>
            <w:tcW w:type="dxa" w:w="4320"/>
          </w:tcPr>
          <w:p>
            <w:r>
              <w:t>HS-2026-005</w:t>
            </w:r>
          </w:p>
        </w:tc>
      </w:tr>
      <w:tr>
        <w:tc>
          <w:tcPr>
            <w:tcW w:type="dxa" w:w="4320"/>
          </w:tcPr>
          <w:p>
            <w:r>
              <w:t>Inventor(s)</w:t>
            </w:r>
          </w:p>
        </w:tc>
        <w:tc>
          <w:tcPr>
            <w:tcW w:type="dxa" w:w="4320"/>
          </w:tcPr>
          <w:p>
            <w:r>
              <w:t>Eric Haywood</w:t>
            </w:r>
          </w:p>
        </w:tc>
      </w:tr>
      <w:tr>
        <w:tc>
          <w:tcPr>
            <w:tcW w:type="dxa" w:w="4320"/>
          </w:tcPr>
          <w:p>
            <w:r>
              <w:t>Residence(s)</w:t>
            </w:r>
          </w:p>
        </w:tc>
        <w:tc>
          <w:tcPr>
            <w:tcW w:type="dxa" w:w="4320"/>
          </w:tcPr>
          <w:p>
            <w:r>
              <w:t>149 Remington Street Unit 425, Fort Collins, CO 80524</w:t>
            </w:r>
          </w:p>
        </w:tc>
      </w:tr>
      <w:tr>
        <w:tc>
          <w:tcPr>
            <w:tcW w:type="dxa" w:w="4320"/>
          </w:tcPr>
          <w:p>
            <w:r>
              <w:t>Correspondence Address</w:t>
            </w:r>
          </w:p>
        </w:tc>
        <w:tc>
          <w:tcPr>
            <w:tcW w:type="dxa" w:w="4320"/>
          </w:tcPr>
          <w:p>
            <w:r>
              <w:t>HeadySystems Inc., 149 Remington Street Unit 425, Fort Collins, CO 80524</w:t>
            </w:r>
          </w:p>
        </w:tc>
      </w:tr>
      <w:tr>
        <w:tc>
          <w:tcPr>
            <w:tcW w:type="dxa" w:w="4320"/>
          </w:tcPr>
          <w:p>
            <w:r>
              <w:t>Attorney/Agent (Name &amp; Reg. No.)</w:t>
            </w:r>
          </w:p>
        </w:tc>
        <w:tc>
          <w:tcPr>
            <w:tcW w:type="dxa" w:w="4320"/>
          </w:tcPr>
          <w:p>
            <w:r>
              <w:t>None</w:t>
            </w:r>
          </w:p>
        </w:tc>
      </w:tr>
      <w:tr>
        <w:tc>
          <w:tcPr>
            <w:tcW w:type="dxa" w:w="4320"/>
          </w:tcPr>
          <w:p>
            <w:r>
              <w:t>U.S. Government Interest (Yes/No)</w:t>
            </w:r>
          </w:p>
        </w:tc>
        <w:tc>
          <w:tcPr>
            <w:tcW w:type="dxa" w:w="4320"/>
          </w:tcPr>
          <w:p>
            <w:r>
              <w:t>No</w:t>
            </w:r>
          </w:p>
        </w:tc>
      </w:tr>
      <w:tr>
        <w:tc>
          <w:tcPr>
            <w:tcW w:type="dxa" w:w="4320"/>
          </w:tcPr>
          <w:p>
            <w:r>
              <w:t>Gov. Agency &amp; Contract No.</w:t>
            </w:r>
          </w:p>
        </w:tc>
        <w:tc>
          <w:tcPr>
            <w:tcW w:type="dxa" w:w="4320"/>
          </w:tcPr>
          <w:p>
            <w:r>
              <w:t>N/A</w:t>
            </w:r>
          </w:p>
        </w:tc>
      </w:tr>
    </w:tbl>
    <w:p>
      <w:r>
        <w:br w:type="page"/>
      </w:r>
    </w:p>
    <w:sectPr w:rsidR="00FC693F" w:rsidRPr="0006063C" w:rsidSect="00034616">
      <w:pgSz w:w="12240" w:h="15840"/>
      <w:pgMar w:top="1440" w:right="1800" w:bottom="1440" w:left="1800" w:header="720" w:footer="720" w:gutter="0"/>
      <w:cols w:space="720"/>
      <w:docGrid w:linePitch="360"/>
    </w:sectPr>
    <w:p>
      <w:pPr>
        <w:pStyle w:val="Heading2"/>
      </w:pPr>
      <w:r>
        <w:t>Title of the Invention</w:t>
      </w:r>
    </w:p>
    <w:p>
      <w:r>
        <w:t>[0001] Predictive Cross‑Vector Threat Modeling System with Time‑Reversal Network Forensics</w:t>
      </w:r>
    </w:p>
    <w:p>
      <w:pPr>
        <w:pStyle w:val="Heading2"/>
      </w:pPr>
      <w:r>
        <w:t>Cross‑Reference to Related Applications</w:t>
      </w:r>
    </w:p>
    <w:p>
      <w:r>
        <w:t>[0002] This application is related to co‑pending provisional applications Docket Nos. HS‑2026‑001 through HS‑2026‑004, filed concurrently herewith by the same inventor and assignee.</w:t>
      </w:r>
    </w:p>
    <w:p>
      <w:pPr>
        <w:pStyle w:val="Heading2"/>
      </w:pPr>
      <w:r>
        <w:t>Field of the Invention</w:t>
      </w:r>
    </w:p>
    <w:p>
      <w:r>
        <w:t>[0003] The invention relates to cybersecurity and intrusion detection, and more particularly to a predictive threat modelling system that detects attacks before hard thresholds are breached by analysing statistical deviations from baseline operational states and tracing attack origins through network routing table reversal.</w:t>
      </w:r>
    </w:p>
    <w:p>
      <w:pPr>
        <w:pStyle w:val="Heading2"/>
      </w:pPr>
      <w:r>
        <w:t>Background of the Invention</w:t>
      </w:r>
    </w:p>
    <w:p>
      <w:r>
        <w:t>[0004] Traditional intrusion detection systems rely on fixed thresholds for detecting SYN floods, ping floods and brute‑force attempts. When network traffic exceeds a static threshold, an alert is triggered. This reactive approach allows attacks to proceed and cannot adapt to changing baseline conditions. Moreover, fixed‑threshold systems do not trace attack origins through routing infrastructure, leaving lateral movement unchecked.</w:t>
      </w:r>
    </w:p>
    <w:p>
      <w:pPr>
        <w:pStyle w:val="Heading2"/>
      </w:pPr>
      <w:r>
        <w:t>Summary of the Invention</w:t>
      </w:r>
    </w:p>
    <w:p>
      <w:r>
        <w:t>[0005] The invention provides a predictive threat modelling system comprising four components: (1) a baseline modeler using machine learning to map normal operational states from container log analysis; (2) a dynamic threshold adjuster that computes detection thresholds as baseline metrics multiplied by φ ≈ 1.618; (3) a pre‑emptive action engine that detects sustained statistical deviations and initiates protective measures; and (4) a time‑reversal path tracer that reverses network routes to identify origin nodes.</w:t>
      </w:r>
    </w:p>
    <w:p>
      <w:r>
        <w:t>[0006] Dynamic thresholds are determined by matching metrics against baseline patterns. If metric data follows a baseline pattern, the baseline becomes the dynamic threshold after sanity checks; otherwise, a composite of baselines is used【160932740416553†L424-L486】【160932740416553†L531-L540】. This automatic determination replaces manual threshold tuning and adapts to changing conditions.</w:t>
      </w:r>
    </w:p>
    <w:p>
      <w:r>
        <w:t>[0007] Time‑reversal forensics extend worm origin identification and propagation path reconstruction techniques used in digital forensics. Algorithms like Origins identify worm origins and reconstruct propagation paths by tracing connections backward in time【88695340627218†L14-L37】【88695340627218†L69-L74】. The invention applies a similar technique to network attack payloads, traversing routing tables in reverse order to isolate compromised nodes.</w:t>
      </w:r>
    </w:p>
    <w:p>
      <w:pPr>
        <w:pStyle w:val="Heading2"/>
      </w:pPr>
      <w:r>
        <w:t>Detailed Description of the Preferred Embodiment</w:t>
      </w:r>
    </w:p>
    <w:p>
      <w:r>
        <w:t>A. Baseline Modelling</w:t>
      </w:r>
    </w:p>
    <w:p>
      <w:r>
        <w:t>[0008] The system ingests container logs from services such as etcd, kube‑apiserver and systemd to build a multidimensional baseline model capturing temporal patterns, resource utilisation and network traffic composition.</w:t>
      </w:r>
    </w:p>
    <w:p>
      <w:r>
        <w:t>B. Dynamic Thresholding</w:t>
      </w:r>
    </w:p>
    <w:p>
      <w:r>
        <w:t>[0009] Detection thresholds are computed dynamically as φ × baseline, e.g., SYN_THRESHOLD = IPTrie.root.volume × φ. Heavy hitters are detected when an IP address exceeds φ × the total traffic volume.</w:t>
      </w:r>
    </w:p>
    <w:p>
      <w:r>
        <w:t>C. Pre‑Emptive Action</w:t>
      </w:r>
    </w:p>
    <w:p>
      <w:r>
        <w:t>[0010] Sustained positive acceleration toward a threshold triggers pre‑emptive measures: rerouting traffic, throttling suspicious ranges and increasing logging granularity. The system calculates time‑to‑threshold breach and acts before a hard threshold is crossed.</w:t>
      </w:r>
    </w:p>
    <w:p>
      <w:r>
        <w:t>D. Time‑Reversal Network Forensics</w:t>
      </w:r>
    </w:p>
    <w:p>
      <w:r>
        <w:t>[0011] Upon detecting a malicious payload, the system captures the routing path and traverses it in reverse, consulting network routing tables (e.g., in etcd) to identify the origin node or compromised pod. This process adapts digital forensics algorithms for worm propagation path reconstruction[2].</w:t>
      </w:r>
    </w:p>
    <w:p>
      <w:pPr>
        <w:pStyle w:val="Heading2"/>
      </w:pPr>
      <w:r>
        <w:t>References</w:t>
      </w:r>
    </w:p>
    <w:p>
      <w:pPr>
        <w:pStyle w:val="ListNumber"/>
      </w:pPr>
      <w:r>
        <w:t>[1] Dynamic thresholding improves intrusion detection by matching metric patterns against baselines; if a matching pattern is found, its baseline becomes the dynamic threshold after sanity checks, otherwise a composite baseline is used【160932740416553†L424-L486】【160932740416553†L531-L540】.</w:t>
      </w:r>
    </w:p>
    <w:p>
      <w:pPr>
        <w:pStyle w:val="ListNumber"/>
      </w:pPr>
      <w:r>
        <w:t>[2] Worm origin identification and propagation path reconstruction are essential for digital forensics; algorithms like Origins identify worm origins and reconstruct propagation paths by tracing connections backward in time【88695340627218†L14-L37】【88695340627218†L69-L74】.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