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PROVISIONAL PATENT APPLICATION</w:t>
      </w:r>
    </w:p>
    <w:p>
      <w:pPr>
        <w:jc w:val="center"/>
      </w:pPr>
      <w:r>
        <w:t>Under 35 U.S.C. § 111(b)</w:t>
      </w:r>
    </w:p>
    <w:p/>
    <w:p>
      <w:pPr>
        <w:jc w:val="center"/>
      </w:pPr>
      <w:r>
        <w:t>LIQUID RUNTIME ARCHITECTURE WITH DYNAMIC MICROSERVICE MATERIALIZATION AND GPU‑PROPORTIONAL RESOURCE ALLOCATION</w:t>
      </w:r>
    </w:p>
    <w:p/>
    <w:tbl>
      <w:tblPr>
        <w:tblStyle w:val="TableGrid"/>
        <w:tblW w:type="auto" w:w="0"/>
        <w:tblLook w:firstColumn="1" w:firstRow="1" w:lastColumn="0" w:lastRow="0" w:noHBand="0" w:noVBand="1" w:val="04A0"/>
      </w:tblPr>
      <w:tblGrid>
        <w:gridCol w:w="4320"/>
        <w:gridCol w:w="4320"/>
      </w:tblGrid>
      <w:tr>
        <w:tc>
          <w:tcPr>
            <w:tcW w:type="dxa" w:w="4320"/>
          </w:tcPr>
          <w:p>
            <w:r>
              <w:t>Title of the Invention</w:t>
            </w:r>
          </w:p>
        </w:tc>
        <w:tc>
          <w:tcPr>
            <w:tcW w:type="dxa" w:w="4320"/>
          </w:tcPr>
          <w:p>
            <w:r>
              <w:t>Liquid Runtime Architecture with Dynamic Microservice Materialization and GPU‑Proportional Resource Allocation</w:t>
            </w:r>
          </w:p>
        </w:tc>
      </w:tr>
      <w:tr>
        <w:tc>
          <w:tcPr>
            <w:tcW w:type="dxa" w:w="4320"/>
          </w:tcPr>
          <w:p>
            <w:r>
              <w:t>Docket Number</w:t>
            </w:r>
          </w:p>
        </w:tc>
        <w:tc>
          <w:tcPr>
            <w:tcW w:type="dxa" w:w="4320"/>
          </w:tcPr>
          <w:p>
            <w:r>
              <w:t>HS-2026-009</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 (Name &amp; Reg. No.)</w:t>
            </w:r>
          </w:p>
        </w:tc>
        <w:tc>
          <w:tcPr>
            <w:tcW w:type="dxa" w:w="4320"/>
          </w:tcPr>
          <w:p>
            <w:r>
              <w:t>None</w:t>
            </w:r>
          </w:p>
        </w:tc>
      </w:tr>
      <w:tr>
        <w:tc>
          <w:tcPr>
            <w:tcW w:type="dxa" w:w="4320"/>
          </w:tcPr>
          <w:p>
            <w:r>
              <w:t>U.S. Government Interest (Yes/No)</w:t>
            </w:r>
          </w:p>
        </w:tc>
        <w:tc>
          <w:tcPr>
            <w:tcW w:type="dxa" w:w="4320"/>
          </w:tcPr>
          <w:p>
            <w:r>
              <w:t>No</w:t>
            </w:r>
          </w:p>
        </w:tc>
      </w:tr>
      <w:tr>
        <w:tc>
          <w:tcPr>
            <w:tcW w:type="dxa" w:w="4320"/>
          </w:tcPr>
          <w:p>
            <w:r>
              <w:t>Gov. Agency &amp; Contract No.</w:t>
            </w:r>
          </w:p>
        </w:tc>
        <w:tc>
          <w:tcPr>
            <w:tcW w:type="dxa" w:w="4320"/>
          </w:tcPr>
          <w:p>
            <w:r>
              <w:t>N/A</w:t>
            </w:r>
          </w:p>
        </w:tc>
      </w:tr>
    </w:tbl>
    <w:p>
      <w:r>
        <w:br w:type="page"/>
      </w:r>
    </w:p>
    <w:p>
      <w:pPr>
        <w:pStyle w:val="Heading1"/>
      </w:pPr>
      <w:r>
        <w:t>Title of the Invention</w:t>
      </w:r>
    </w:p>
    <w:p>
      <w:r>
        <w:t>[0001] Liquid Runtime Architecture with Dynamic Microservice Materialization and GPU‑Proportional Resource Allocation</w:t>
      </w:r>
    </w:p>
    <w:p>
      <w:pPr>
        <w:pStyle w:val="Heading1"/>
      </w:pPr>
      <w:r>
        <w:t>Cross‑Reference to Related Applications</w:t>
      </w:r>
    </w:p>
    <w:p>
      <w:r>
        <w:t>[0002] This application claims the benefit of priority and is related to co‑pending provisional applications filed concurrently herewith by the same inventor and assignee.</w:t>
      </w:r>
    </w:p>
    <w:p>
      <w:pPr>
        <w:pStyle w:val="Heading1"/>
      </w:pPr>
      <w:r>
        <w:t>Field of the Invention</w:t>
      </w:r>
    </w:p>
    <w:p>
      <w:r>
        <w:t>[0003] This invention relates to systems and methods for dynamically materializing and dissolving cloud microservices based on real‑time demand, with GPU resource allocation proportional to task computational intensity, and repository‑aware projection reconciliation.</w:t>
      </w:r>
    </w:p>
    <w:p>
      <w:pPr>
        <w:pStyle w:val="Heading1"/>
      </w:pPr>
      <w:r>
        <w:t>Background of the Invention</w:t>
      </w:r>
    </w:p>
    <w:p>
      <w:r>
        <w:t>[0004] Traditional cloud architectures require pre‑provisioned microservices that consume resources whether in use or not. Container orchestration platforms provide scaling but cannot dynamically synthesize entirely new service types at runtime. No existing system materializes microservices from templates injected via a three‑dimensional spatial workspace, allocates GPU resources proportionally using golden ratio scaling, or reconciles the live runtime state against its source repository projection to identify stray or untracked service artifacts.</w:t>
      </w:r>
    </w:p>
    <w:p>
      <w:pPr>
        <w:pStyle w:val="Heading1"/>
      </w:pPr>
      <w:r>
        <w:t>Summary of the Invention</w:t>
      </w:r>
    </w:p>
    <w:p>
      <w:r>
        <w:t>[0005] The invention provides a system and method as described herein.</w:t>
      </w:r>
    </w:p>
    <w:p>
      <w:r>
        <w:t>[0006] Dynamic Service Materialization: Cloud microservices are materialized on demand from capability templates stored in a 3D spatial workspace. Services exist only while needed and dissolve when their tasks complete, leaving no persistent infrastructure footprint.</w:t>
      </w:r>
    </w:p>
    <w:p>
      <w:r>
        <w:t>[0007] Capability Registry: A dynamic registry of runtime capabilities (e.g., chat, music‑ai, devtools, research, security, analytics) with health monitoring, version tracking and automatic failover.</w:t>
      </w:r>
    </w:p>
    <w:p>
      <w:r>
        <w:t>[0008] GPU‑Proportional Allocation: GPU resources are allocated proportionally to task computational intensity using golden‑ratio‑derived allocation thresholds, preventing both over‑provisioning and starvation.</w:t>
      </w:r>
    </w:p>
    <w:p>
      <w:r>
        <w:t>[0009] 3D Workspace Template Injection: Service templates are injected from a three‑dimensional vector workspace into the runtime, carrying their full configuration, dependencies and scaling parameters as spatial coordinates.</w:t>
      </w:r>
    </w:p>
    <w:p>
      <w:r>
        <w:t>[0010] Repository Projection Reconciliation: The runtime continuously compares its live state against the source repository, identifying untracked files, stray service artifacts and configuration drift, with optional automated reconciliation.</w:t>
      </w:r>
    </w:p>
    <w:p>
      <w:pPr>
        <w:pStyle w:val="Heading1"/>
      </w:pPr>
      <w:r>
        <w:t>Detailed Description of the Preferred Embodiment</w:t>
      </w:r>
    </w:p>
    <w:p>
      <w:r>
        <w:t>A. LiquidUnifiedRuntime Architecture</w:t>
      </w:r>
    </w:p>
    <w:p>
      <w:r>
        <w:t>[0011] The LiquidUnifiedRuntime orchestrates the lifecycle of cloud‑only microservices. It maintains a registry of capabilities, each described by a name, sources, semantic version, health status and last health‑check timestamp. Default capabilities include heady‑chat, music‑ai, devtools, research, security, memory, analytics, creative, operations, quality, finops and networking.</w:t>
      </w:r>
    </w:p>
    <w:p>
      <w:r>
        <w:t>[0012] To optimize the service footprint, the runtime enforces a configurable maximum number of concurrent microservices. When this limit is exceeded, it scores services by last access, request volume, error rate and priority, then gracefully dissolves the lowest‑scoring services by draining connections, persisting state and releasing resources.</w:t>
      </w:r>
    </w:p>
    <w:p>
      <w:r>
        <w:t>B. GPU Allocation</w:t>
      </w:r>
    </w:p>
    <w:p>
      <w:r>
        <w:t>[0013] GPU resources such as NVIDIA A100 and T4 instances are allocated proportionally to task intensity using golden‑ratio thresholds. Intensity ranges of [0,0.382], [0.382,0.618], [0.618,0.854] and [0.854,1.0] correspond to φ‑derived values (φ⁻² ≈ 0.382, φ⁻¹ ≈ 0.618, and 1 – φ⁻² ≈ 0.854). Tasks in each range are assigned specific GPU types and counts, ensuring balanced utilization without over‑provisioning.</w:t>
      </w:r>
    </w:p>
    <w:p>
      <w:r>
        <w:t>[0014] The golden ratio (φ ≈ 1.618) is the most irrational number and has the slowest‑converging continued fraction. Splitting resources using φ‑derived ratios produces self‑similar partitions that minimize resonance patterns and contention, leading to efficient resource utilization.</w:t>
      </w:r>
    </w:p>
    <w:p>
      <w:r>
        <w:t>C. 3D Workspace Injection</w:t>
      </w:r>
    </w:p>
    <w:p>
      <w:r>
        <w:t>[0015] Capability templates are stored in a 3D spatial workspace where each dimension represents semantic domain, temporal state and hierarchy level. When a template is injected, the runtime extracts spatial coordinates, validates the template against the capability registry, materializes the corresponding microservice on the target cloud provider, registers it with health monitoring and returns the service endpoint.</w:t>
      </w:r>
    </w:p>
    <w:p>
      <w:r>
        <w:t>[0016] Spatial indexing of templates may employ octree data structures, which partition three‑dimensional space into eight child octants. Octrees enable O(log N) operations for insertion, deletion and search and are memory efficient because they store data only in leaf nodes.</w:t>
      </w:r>
    </w:p>
    <w:p>
      <w:r>
        <w:t>D. Repository Projection Reconciliation</w:t>
      </w:r>
    </w:p>
    <w:p>
      <w:r>
        <w:t>[0017] The runtime compares its live file system against the Git repository projection. It identifies untracked files, filters known generated files (such as node_modules, dist and coverage) and protected worker markers, reports stray files and optionally applies automated reconciliation by adding or removing files as needed.</w:t>
      </w:r>
    </w:p>
    <w:p>
      <w:pPr>
        <w:pStyle w:val="Heading1"/>
      </w:pPr>
      <w:r>
        <w:t>Claims</w:t>
      </w:r>
    </w:p>
    <w:p>
      <w:r>
        <w:t>1. A computer‑implemented method for managing cloud microservices, comprising: (a) dynamically materializing microservices from capability templates when demand is detected; (b) maintaining a capability registry with health monitoring, version tracking and automatic failover; (c) allocating GPU resources proportionally to task computational intensity using golden‑ratio‑derived allocation thresholds; (d) dissolving microservices when their tasks complete to maintain a configurable maximum concurrent service count; and (e) injecting service templates from a three‑dimensional spatial workspace using coordinates representing semantic domain, temporal state and hierarchy level.</w:t>
      </w:r>
    </w:p>
    <w:p>
      <w:r>
        <w:t>2. The method of claim 1, wherein the GPU allocation thresholds are derived from the golden ratio inverse (φ⁻¹ ≈ 0.618), golden ratio inverse squared (φ⁻² ≈ 0.382) and their complements, producing mathematically optimal allocation boundaries.</w:t>
      </w:r>
    </w:p>
    <w:p>
      <w:r>
        <w:t>3. The method of claim 1, further comprising continuously reconciling the runtime’s live state against a source repository projection by identifying untracked files, filtering protected artifacts, reporting configuration drift and optionally applying automated reconciliation.</w:t>
      </w:r>
    </w:p>
    <w:p>
      <w:r>
        <w:t>4. A liquid runtime system comprising: a capability registry maintaining health‑monitored cloud microservice descriptors; a materialization engine that instantiates services from 3D workspace templates on demand; a GPU allocation engine that assigns computational resources proportionally using golden‑ratio scaling; a dissolution engine that gracefully removes underutilized services; and a reconciliation engine that compares live runtime state against a source repository projection.</w:t>
      </w:r>
    </w:p>
    <w:p>
      <w:pPr>
        <w:pStyle w:val="Heading1"/>
      </w:pPr>
      <w:r>
        <w:t>Implementation Reference</w:t>
      </w:r>
    </w:p>
    <w:p>
      <w:r>
        <w:t>[0018] The Liquid Unified Runtime may be implemented in the file `src/services/liquid-unified-runtime.js` with dependencies such as `heady-principles.js` for phi‑scaling functions. The runtime uses octree spatial indexing to manage capability templates in the 3D workspace.</w:t>
      </w:r>
    </w:p>
    <w:p>
      <w:pPr>
        <w:pStyle w:val="Heading1"/>
      </w:pPr>
      <w:r>
        <w:t>References</w:t>
      </w:r>
    </w:p>
    <w:p>
      <w:r>
        <w:t>[1] Octrees partition three‑dimensional space into eight child octants, enabling O(log N) operations for insertion, deletion and search and providing memory‑efficient spatial indexing【135796677921791†L142-L156】</w:t>
      </w:r>
    </w:p>
    <w:p>
      <w:r>
        <w:t>[2] Octrees store data only at leaf nodes and can prune empty branches, making them memory efficient for representing 3D space【135796677921791†L219-L229】</w:t>
      </w:r>
    </w:p>
    <w:p>
      <w:r>
        <w:t>[3] The golden ratio has the slowest‑converging continued fraction and is considered the most irrational number, making φ‑derived splits ideal for resource allocation【577248341085003†L203-L218】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