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PROVISIONAL PATENT APPLICATION</w:t>
      </w:r>
    </w:p>
    <w:p>
      <w:pPr>
        <w:jc w:val="center"/>
      </w:pPr>
      <w:r>
        <w:t>Under 35 U.S.C. § 111(b)</w:t>
      </w:r>
    </w:p>
    <w:p/>
    <w:p>
      <w:pPr>
        <w:jc w:val="center"/>
      </w:pPr>
      <w:r>
        <w:t>CLOUD-MEDIATED CROSS-DEVICE STATE SYNCHRONIZATION WITH PHI-INTERVAL HEARTBEAT AND DETERMINISTIC CONFLICT RESOLUTION</w:t>
      </w:r>
    </w:p>
    <w:p/>
    <w:tbl>
      <w:tblPr>
        <w:tblStyle w:val="TableGrid"/>
        <w:tblW w:type="auto" w:w="0"/>
        <w:tblLook w:firstColumn="1" w:firstRow="1" w:lastColumn="0" w:lastRow="0" w:noHBand="0" w:noVBand="1" w:val="04A0"/>
      </w:tblPr>
      <w:tblGrid>
        <w:gridCol w:w="4320"/>
        <w:gridCol w:w="4320"/>
      </w:tblGrid>
      <w:tr>
        <w:tc>
          <w:tcPr>
            <w:tcW w:type="dxa" w:w="4320"/>
          </w:tcPr>
          <w:p>
            <w:r>
              <w:t>Title of the Invention</w:t>
            </w:r>
          </w:p>
        </w:tc>
        <w:tc>
          <w:tcPr>
            <w:tcW w:type="dxa" w:w="4320"/>
          </w:tcPr>
          <w:p>
            <w:r>
              <w:t>Cloud-Mediated Cross-Device State Synchronization with Phi-Interval Heartbeat and Deterministic Conflict Resolution</w:t>
            </w:r>
          </w:p>
        </w:tc>
      </w:tr>
      <w:tr>
        <w:tc>
          <w:tcPr>
            <w:tcW w:type="dxa" w:w="4320"/>
          </w:tcPr>
          <w:p>
            <w:r>
              <w:t>Docket Number</w:t>
            </w:r>
          </w:p>
        </w:tc>
        <w:tc>
          <w:tcPr>
            <w:tcW w:type="dxa" w:w="4320"/>
          </w:tcPr>
          <w:p>
            <w:r>
              <w:t>HS-2026-010</w:t>
            </w:r>
          </w:p>
        </w:tc>
      </w:tr>
      <w:tr>
        <w:tc>
          <w:tcPr>
            <w:tcW w:type="dxa" w:w="4320"/>
          </w:tcPr>
          <w:p>
            <w:r>
              <w:t>Inventor(s)</w:t>
            </w:r>
          </w:p>
        </w:tc>
        <w:tc>
          <w:tcPr>
            <w:tcW w:type="dxa" w:w="4320"/>
          </w:tcPr>
          <w:p>
            <w:r>
              <w:t>Eric Haywood</w:t>
            </w:r>
          </w:p>
        </w:tc>
      </w:tr>
      <w:tr>
        <w:tc>
          <w:tcPr>
            <w:tcW w:type="dxa" w:w="4320"/>
          </w:tcPr>
          <w:p>
            <w:r>
              <w:t>Residence(s)</w:t>
            </w:r>
          </w:p>
        </w:tc>
        <w:tc>
          <w:tcPr>
            <w:tcW w:type="dxa" w:w="4320"/>
          </w:tcPr>
          <w:p>
            <w:r>
              <w:t>149 Remington Street Unit 425, Fort Collins, CO 80524</w:t>
            </w:r>
          </w:p>
        </w:tc>
      </w:tr>
      <w:tr>
        <w:tc>
          <w:tcPr>
            <w:tcW w:type="dxa" w:w="4320"/>
          </w:tcPr>
          <w:p>
            <w:r>
              <w:t>Correspondence Address</w:t>
            </w:r>
          </w:p>
        </w:tc>
        <w:tc>
          <w:tcPr>
            <w:tcW w:type="dxa" w:w="4320"/>
          </w:tcPr>
          <w:p>
            <w:r>
              <w:t>HeadySystems Inc., 149 Remington Street Unit 425, Fort Collins, CO 80524</w:t>
            </w:r>
          </w:p>
        </w:tc>
      </w:tr>
      <w:tr>
        <w:tc>
          <w:tcPr>
            <w:tcW w:type="dxa" w:w="4320"/>
          </w:tcPr>
          <w:p>
            <w:r>
              <w:t>Attorney/Agent (Name &amp; Reg. No.)</w:t>
            </w:r>
          </w:p>
        </w:tc>
        <w:tc>
          <w:tcPr>
            <w:tcW w:type="dxa" w:w="4320"/>
          </w:tcPr>
          <w:p>
            <w:r>
              <w:t>None</w:t>
            </w:r>
          </w:p>
        </w:tc>
      </w:tr>
      <w:tr>
        <w:tc>
          <w:tcPr>
            <w:tcW w:type="dxa" w:w="4320"/>
          </w:tcPr>
          <w:p>
            <w:r>
              <w:t>U.S. Government Interest (Yes/No)</w:t>
            </w:r>
          </w:p>
        </w:tc>
        <w:tc>
          <w:tcPr>
            <w:tcW w:type="dxa" w:w="4320"/>
          </w:tcPr>
          <w:p>
            <w:r>
              <w:t>No</w:t>
            </w:r>
          </w:p>
        </w:tc>
      </w:tr>
      <w:tr>
        <w:tc>
          <w:tcPr>
            <w:tcW w:type="dxa" w:w="4320"/>
          </w:tcPr>
          <w:p>
            <w:r>
              <w:t>Gov. Agency &amp; Contract No.</w:t>
            </w:r>
          </w:p>
        </w:tc>
        <w:tc>
          <w:tcPr>
            <w:tcW w:type="dxa" w:w="4320"/>
          </w:tcPr>
          <w:p>
            <w:r>
              <w:t>N/A</w:t>
            </w:r>
          </w:p>
        </w:tc>
      </w:tr>
    </w:tbl>
    <w:p>
      <w:r>
        <w:br w:type="page"/>
      </w:r>
    </w:p>
    <w:p>
      <w:pPr>
        <w:pStyle w:val="Heading1"/>
      </w:pPr>
      <w:r>
        <w:t>Title of the Invention</w:t>
      </w:r>
    </w:p>
    <w:p>
      <w:r>
        <w:t>[0001] Cloud-Mediated Cross-Device State Synchronization with Phi-Interval Heartbeat and Deterministic Conflict Resolution</w:t>
      </w:r>
    </w:p>
    <w:p>
      <w:pPr>
        <w:pStyle w:val="Heading1"/>
      </w:pPr>
      <w:r>
        <w:t>Cross‑Reference to Related Applications</w:t>
      </w:r>
    </w:p>
    <w:p>
      <w:r>
        <w:t>[0002] This application claims the benefit of priority and is related to co‑pending provisional applications filed concurrently herewith by the same inventor and assignee.</w:t>
      </w:r>
    </w:p>
    <w:p>
      <w:pPr>
        <w:pStyle w:val="Heading1"/>
      </w:pPr>
      <w:r>
        <w:t>Field of the Invention</w:t>
      </w:r>
    </w:p>
    <w:p>
      <w:r>
        <w:t>[0003] This invention relates to systems and methods for synchronizing application state across multiple heterogeneous devices through a cloud‑mediated sync mesh, using deterministic conflict resolution, phi‑proportional heartbeat intervals and automatic authorization propagation.</w:t>
      </w:r>
    </w:p>
    <w:p>
      <w:pPr>
        <w:pStyle w:val="Heading1"/>
      </w:pPr>
      <w:r>
        <w:t>Background of the Invention</w:t>
      </w:r>
    </w:p>
    <w:p>
      <w:r>
        <w:t>[0004] Cross‑device synchronization is a longstanding problem in distributed systems. Existing solutions synchronize file‑level data but do not provide real‑time application state synchronization including authentication tokens, active module states, chat histories and filesystem bookmarks; automatic propagation of authorization grants; deterministic conflict resolution using cryptographic sync identifiers; or phi‑proportional heartbeat intervals that produce naturally distributed network traffic patterns.</w:t>
      </w:r>
    </w:p>
    <w:p>
      <w:pPr>
        <w:pStyle w:val="Heading1"/>
      </w:pPr>
      <w:r>
        <w:t>Summary of the Invention</w:t>
      </w:r>
    </w:p>
    <w:p>
      <w:r>
        <w:t>[0005] The invention provides a system and method as described herein.</w:t>
      </w:r>
    </w:p>
    <w:p>
      <w:r>
        <w:t>[0006] Device Registry: A cloud‑hosted registry that maintains metadata for all provisioned devices, uses heartbeat‑based liveness detection and automatically prunes stale devices.</w:t>
      </w:r>
    </w:p>
    <w:p>
      <w:r>
        <w:t>[0007] Sync State Manager: Maintains the canonical application state, supporting partial updates from any device with deterministic conflict resolution via SHA‑256‑based sync identifiers.</w:t>
      </w:r>
    </w:p>
    <w:p>
      <w:r>
        <w:t>[0008] Authorization Propagation: When one device receives root authorization, the authorization is instantly propagated to all registered devices, so a single authorization authorizes the entire device fleet.</w:t>
      </w:r>
    </w:p>
    <w:p>
      <w:r>
        <w:t>[0009] Phi‑Proportional Heartbeat: Device heartbeats run on a phi‑scaled interval (base interval × φ), producing naturally spaced network traffic that minimizes bandwidth contention during concurrent device synchronization.</w:t>
      </w:r>
    </w:p>
    <w:p>
      <w:r>
        <w:t>[0010] Multi‑Channel Sync: Synchronizes at least five distinct data channels — authentication state, module installation states, chat message history, user preferences and filesystem bookmarks — through a unified sync protocol.</w:t>
      </w:r>
    </w:p>
    <w:p>
      <w:pPr>
        <w:pStyle w:val="Heading1"/>
      </w:pPr>
      <w:r>
        <w:t>Detailed Description of the Preferred Embodiment</w:t>
      </w:r>
    </w:p>
    <w:p>
      <w:r>
        <w:t>A. DeviceRegistry</w:t>
      </w:r>
    </w:p>
    <w:p>
      <w:r>
        <w:t>[0011] The DeviceRegistry component stores a mapping of device identifiers to device records. Each record contains the device type, registration timestamp, last heartbeat timestamp, current sync state and other metadata. Heartbeat processing updates the last‑seen timestamp and transitions the device state to connected. A listActive function returns devices that have sent a heartbeat within a configurable threshold (default 60 seconds), enabling stale device pruning.</w:t>
      </w:r>
    </w:p>
    <w:p>
      <w:r>
        <w:t>B. SyncStateManager</w:t>
      </w:r>
    </w:p>
    <w:p>
      <w:r>
        <w:t>[0012] The SyncStateManager maintains a versioned canonical state object containing fields such as version identifier, sync ID, root authorization state, module installation states, user preferences, chat history and filesystem bookmarks. Each state mutation generates a new sync ID by computing a SHA‑256 hash of the serialized state concatenated with the current timestamp, truncated for compactness. Updates are applied using deep merge with field‑level last‑writer‑wins semantics.</w:t>
      </w:r>
    </w:p>
    <w:p>
      <w:r>
        <w:t>[0013] The last‑writer‑wins approach resolves conflicts by applying the update with the most recent timestamp; ties may be broken deterministically using string comparisons or hashed values. This deterministic conflict resolution ensures that all devices converge to the same canonical state even under concurrent updates.</w:t>
      </w:r>
    </w:p>
    <w:p>
      <w:r>
        <w:t>C. CrossDeviceSync Orchestrator</w:t>
      </w:r>
    </w:p>
    <w:p>
      <w:r>
        <w:t>[0014] The orchestrator coordinates device registration, state updates and broadcasts. On device registration, it pushes the full canonical state to the new device. When a state update arrives from any device, it applies the patch to the canonical state and broadcasts the updated state to all other active devices, excluding the source to prevent echo loops.</w:t>
      </w:r>
    </w:p>
    <w:p>
      <w:r>
        <w:t>[0015] Authorization propagation ensures that when any device obtains an authorization grant (such as OAuth or access token), the updated authorization state is broadcast to every device in the mesh. Similarly, module installation updates, chat messages and preference changes are propagated across devices with sub‑second latency. All sync events are emitted to a global event bus for external system integration.</w:t>
      </w:r>
    </w:p>
    <w:p>
      <w:pPr>
        <w:pStyle w:val="Heading1"/>
      </w:pPr>
      <w:r>
        <w:t>Claims</w:t>
      </w:r>
    </w:p>
    <w:p>
      <w:r>
        <w:t>1. A computer‑implemented method for cross‑device state synchronization, comprising: (a) maintaining a cloud‑hosted device registry with heartbeat‑based liveness detection; (b) managing a canonical application state that is updated by partial patches from any registered device using deterministic conflict resolution via cryptographic sync identifiers; (c) upon receiving an authorization grant on any single device, automatically propagating the authorization to all other registered devices in the sync mesh; (d) broadcasting state updates from any source device to all other active devices while excluding the source device to prevent echo feedback; and (e) synchronizing at least authentication state, module installation states, chat message history, user preferences and filesystem bookmarks through a unified protocol.</w:t>
      </w:r>
    </w:p>
    <w:p>
      <w:r>
        <w:t>2. The method of claim 1, wherein the deterministic conflict resolution comprises generating a sync identifier by computing a SHA‑256 hash of the serialized canonical state concatenated with a monotonic timestamp and applying updates using field‑level last‑writer‑wins merge semantics.</w:t>
      </w:r>
    </w:p>
    <w:p>
      <w:r>
        <w:t>3. The method of claim 1, wherein the device heartbeat interval is derived from the golden ratio (φ ≈ 1.618) applied to a base interval, producing naturally distributed network traffic patterns that minimize bandwidth contention during concurrent device synchronization.</w:t>
      </w:r>
    </w:p>
    <w:p>
      <w:r>
        <w:t>4. A cross‑device synchronization system comprising: a device registry maintaining liveness‑monitored device records; a sync state manager maintaining canonical application state with cryptographic conflict resolution; an authorization propagation engine that broadcasts auth grants across the device mesh; a broadcast engine that distributes state patches to all active devices excluding the update source; and a multi‑channel sync protocol handling authentication, module states, chat history, preferences and filesystem bookmarks.</w:t>
      </w:r>
    </w:p>
    <w:p>
      <w:pPr>
        <w:pStyle w:val="Heading1"/>
      </w:pPr>
      <w:r>
        <w:t>Implementation Reference</w:t>
      </w:r>
    </w:p>
    <w:p>
      <w:r>
        <w:t>[0016] The Cross‑Device Sync service may be implemented in the file `src/services/cross-device-sync.js` using classes `DeviceRegistry`, `SyncStateManager` and `CrossDeviceSync`. The service depends on `heady-principles.js` for the PHI constant to compute heartbeat intervals.</w:t>
      </w:r>
    </w:p>
    <w:p>
      <w:pPr>
        <w:pStyle w:val="Heading1"/>
      </w:pPr>
      <w:r>
        <w:t>References</w:t>
      </w:r>
    </w:p>
    <w:p>
      <w:r>
        <w:t>[1] Scheduling events at golden‑ratio intervals (φ × 60 minutes ≈ 37.1 minutes) yields nearly uniform coverage and allows adding events while keeping coverage close to uniform【10089563345220†L41-L50】</w:t>
      </w:r>
    </w:p>
    <w:p>
      <w:r>
        <w:t>[2] The golden ratio has the slowest‑converging continued fraction and is considered the most irrational number, minimizing resonance when used for proportional splits【577248341085003†L203-L218】</w:t>
      </w:r>
    </w:p>
    <w:p>
      <w:r>
        <w:t>[3] In distributed systems, last‑writer‑wins conflict resolution selects the write with the latest timestamp; tie‑breakers use deterministic criteria【554987348588856†L818-L835】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