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32"/>
        </w:rPr>
        <w:t>PROVISIONAL PATENT APPLICATION</w:t>
      </w:r>
    </w:p>
    <w:p>
      <w:pPr>
        <w:jc w:val="center"/>
      </w:pPr>
      <w:r>
        <w:rPr>
          <w:sz w:val="24"/>
        </w:rPr>
        <w:t>Under 35 U.S.C. § 111(b)</w:t>
      </w:r>
    </w:p>
    <w:p/>
    <w:p>
      <w:pPr>
        <w:jc w:val="center"/>
      </w:pPr>
      <w:r>
        <w:rPr>
          <w:b/>
          <w:sz w:val="28"/>
        </w:rPr>
        <w:t>SYSTEM AND METHOD FOR MULTI-AGENT ORCHESTRATION USING GOLDEN RATIO PROPORTIONAL SCALING</w:t>
      </w:r>
    </w:p>
    <w:p/>
    <w:tbl>
      <w:tblPr>
        <w:tblStyle w:val="TableGrid"/>
        <w:tblW w:type="auto" w:w="0"/>
        <w:tblLook w:firstColumn="1" w:firstRow="1" w:lastColumn="0" w:lastRow="0" w:noHBand="0" w:noVBand="1" w:val="04A0"/>
      </w:tblPr>
      <w:tblGrid>
        <w:gridCol w:w="4320"/>
        <w:gridCol w:w="4320"/>
      </w:tblGrid>
      <w:tr>
        <w:tc>
          <w:tcPr>
            <w:tcW w:type="dxa" w:w="4320"/>
          </w:tcPr>
          <w:p>
            <w:r>
              <w:rPr>
                <w:b/>
              </w:rPr>
              <w:t>Docket Number:</w:t>
            </w:r>
          </w:p>
        </w:tc>
        <w:tc>
          <w:tcPr>
            <w:tcW w:type="dxa" w:w="4320"/>
          </w:tcPr>
          <w:p>
            <w:r>
              <w:t>HS-2026-001</w:t>
            </w:r>
          </w:p>
        </w:tc>
      </w:tr>
      <w:tr>
        <w:tc>
          <w:tcPr>
            <w:tcW w:type="dxa" w:w="4320"/>
          </w:tcPr>
          <w:p>
            <w:r>
              <w:rPr>
                <w:b/>
              </w:rPr>
              <w:t>Filing Date:</w:t>
            </w:r>
          </w:p>
        </w:tc>
        <w:tc>
          <w:tcPr>
            <w:tcW w:type="dxa" w:w="4320"/>
          </w:tcPr>
          <w:p>
            <w:r>
              <w:t>March 3, 2026</w:t>
            </w:r>
          </w:p>
        </w:tc>
      </w:tr>
      <w:tr>
        <w:tc>
          <w:tcPr>
            <w:tcW w:type="dxa" w:w="4320"/>
          </w:tcPr>
          <w:p>
            <w:r>
              <w:rPr>
                <w:b/>
              </w:rPr>
              <w:t>Inventor:</w:t>
            </w:r>
          </w:p>
        </w:tc>
        <w:tc>
          <w:tcPr>
            <w:tcW w:type="dxa" w:w="4320"/>
          </w:tcPr>
          <w:p>
            <w:r>
              <w:t>Eric Haywood</w:t>
            </w:r>
          </w:p>
        </w:tc>
      </w:tr>
      <w:tr>
        <w:tc>
          <w:tcPr>
            <w:tcW w:type="dxa" w:w="4320"/>
          </w:tcPr>
          <w:p>
            <w:r>
              <w:rPr>
                <w:b/>
              </w:rPr>
              <w:t>Inventor Address:</w:t>
            </w:r>
          </w:p>
        </w:tc>
        <w:tc>
          <w:tcPr>
            <w:tcW w:type="dxa" w:w="4320"/>
          </w:tcPr>
          <w:p>
            <w:r>
              <w:t>149 Remington Street Unit 425, Fort Collins, CO 80524</w:t>
            </w:r>
          </w:p>
        </w:tc>
      </w:tr>
      <w:tr>
        <w:tc>
          <w:tcPr>
            <w:tcW w:type="dxa" w:w="4320"/>
          </w:tcPr>
          <w:p>
            <w:r>
              <w:rPr>
                <w:b/>
              </w:rPr>
              <w:t>Assignee:</w:t>
            </w:r>
          </w:p>
        </w:tc>
        <w:tc>
          <w:tcPr>
            <w:tcW w:type="dxa" w:w="4320"/>
          </w:tcPr>
          <w:p>
            <w:r>
              <w:t>HeadySystems Inc.</w:t>
            </w:r>
          </w:p>
        </w:tc>
      </w:tr>
      <w:tr>
        <w:tc>
          <w:tcPr>
            <w:tcW w:type="dxa" w:w="4320"/>
          </w:tcPr>
          <w:p>
            <w:r>
              <w:rPr>
                <w:b/>
              </w:rPr>
              <w:t>Assignee Address:</w:t>
            </w:r>
          </w:p>
        </w:tc>
        <w:tc>
          <w:tcPr>
            <w:tcW w:type="dxa" w:w="4320"/>
          </w:tcPr>
          <w:p>
            <w:r>
              <w:t>149 Remington Street Unit 425, Fort Collins, CO 80524</w:t>
            </w:r>
          </w:p>
        </w:tc>
      </w:tr>
      <w:tr>
        <w:tc>
          <w:tcPr>
            <w:tcW w:type="dxa" w:w="4320"/>
          </w:tcPr>
          <w:p>
            <w:r>
              <w:rPr>
                <w:b/>
              </w:rPr>
              <w:t>Correspondence:</w:t>
            </w:r>
          </w:p>
        </w:tc>
        <w:tc>
          <w:tcPr>
            <w:tcW w:type="dxa" w:w="4320"/>
          </w:tcPr>
          <w:p>
            <w:r>
              <w:t>Eric Haywood</w:t>
              <w:br/>
              <w:t>149 Remington Street Unit 425, Fort Collins, CO 80524</w:t>
              <w:br/>
              <w:t>Email: eric@headyme.com</w:t>
            </w:r>
          </w:p>
        </w:tc>
      </w:tr>
    </w:tbl>
    <w:p>
      <w:r>
        <w:br w:type="page"/>
      </w:r>
    </w:p>
    <w:p>
      <w:pPr>
        <w:pStyle w:val="Heading1"/>
      </w:pPr>
      <w:r>
        <w:t>TITLE OF THE INVENTION</w:t>
      </w:r>
    </w:p>
    <w:p>
      <w:r>
        <w:t>System and Method for Multi-Agent Orchestration Using Golden Ratio Proportional Scaling</w:t>
      </w:r>
    </w:p>
    <w:p>
      <w:pPr>
        <w:pStyle w:val="Heading1"/>
      </w:pPr>
      <w:r>
        <w:t>CROSS-REFERENCE TO RELATED APPLICATIONS</w:t>
      </w:r>
    </w:p>
    <w:p>
      <w:r>
        <w:t>This application claims the benefit of priority and is related to co-pending provisional applications filed concurrently herewith by the same inventor and assignee.</w:t>
      </w:r>
    </w:p>
    <w:p>
      <w:pPr>
        <w:pStyle w:val="Heading1"/>
      </w:pPr>
      <w:r>
        <w:t>FIELD OF THE INVENTION</w:t>
      </w:r>
    </w:p>
    <w:p>
      <w:r>
        <w:t>The present invention relates to multi-agent artificial intelligence systems, and more particularly to a system and method for dynamically allocating computational resources across autonomous AI agents using mathematical derivations from the Golden Ratio (φ = 1.6180339887...), base-13 arithmetic, and logarithmic scaling functions.</w:t>
      </w:r>
    </w:p>
    <w:p>
      <w:pPr>
        <w:pStyle w:val="Heading1"/>
      </w:pPr>
      <w:r>
        <w:t>BACKGROUND OF THE INVENTION</w:t>
      </w:r>
    </w:p>
    <w:p>
      <w:r>
        <w:t>Multi-agent AI systems require coordination of resource allocation, communication timing, retry intervals, and hierarchical organization. Current approaches rely on arbitrary hyperparameters — exponential backoff with base 2, equal resource splits, and ad-hoc hierarchy depths — that produce resonance patterns where multiple agents compete for the same resource simultaneously.</w:t>
      </w:r>
    </w:p>
    <w:p>
      <w:r>
        <w:t>The prior art fails to provide a mathematically principled, self-balancing framework for agent coordination. Specifically, rational-ratio resource splits (e.g., 50/50, 60/40) create periodic aliasing in distributed systems, leading to predictable contention windows.</w:t>
      </w:r>
    </w:p>
    <w:p>
      <w:r>
        <w:t>What is needed is a coordination framework derived from irrational number theory that provably eliminates resonance patterns in agent communication, resource allocation, and timing.</w:t>
      </w:r>
    </w:p>
    <w:p>
      <w:pPr>
        <w:pStyle w:val="Heading1"/>
      </w:pPr>
      <w:r>
        <w:t>SUMMARY OF THE INVENTION</w:t>
      </w:r>
    </w:p>
    <w:p>
      <w:r>
        <w:t>The present invention provides a system and method for multi-agent orchestration wherein ALL coordination parameters — capacity allocation, retry timing, hierarchy depth, tier classification, alert thresholds, and spatial distribution — are derived from three mathematical constants:</w:t>
      </w:r>
    </w:p>
    <w:p>
      <w:r>
        <w:rPr>
          <w:b/>
        </w:rPr>
        <w:t>1. φ (PHI) = 1.618033988749895 — the Golden Ratio, governing proportional relationships</w:t>
      </w:r>
    </w:p>
    <w:p>
      <w:r>
        <w:rPr>
          <w:b/>
        </w:rPr>
        <w:t>2. Base-13 — a proprietary number system for tier classification and scoring</w:t>
      </w:r>
    </w:p>
    <w:p>
      <w:r>
        <w:rPr>
          <w:b/>
        </w:rPr>
        <w:t>3. Log-42 — a logarithmic scaling base for parameter normalization</w:t>
      </w:r>
    </w:p>
    <w:p>
      <w:r>
        <w:t>By exploiting the property that φ has the slowest-converging continued fraction among all irrational numbers (Hurwitz's Theorem, 1891), the system produces provably conflict-free resource allocation and timing distributions. The Three-Distance Theorem (Sós, 1958) guarantees that φ-spaced polling intervals create only 2-3 distinct contention patterns regardless of the number of agents, reducing contention complexity from O(N²) to O(1).</w:t>
      </w:r>
    </w:p>
    <w:p>
      <w:pPr>
        <w:pStyle w:val="Heading1"/>
      </w:pPr>
      <w:r>
        <w:t>DETAILED DESCRIPTION OF THE PREFERRED EMBODIMENT</w:t>
      </w:r>
    </w:p>
    <w:p>
      <w:pPr>
        <w:pStyle w:val="Heading2"/>
      </w:pPr>
      <w:r>
        <w:t>A. Golden Ratio Resource Allocation</w:t>
      </w:r>
    </w:p>
    <w:p>
      <w:r>
        <w:t>The system divides any resource budget B between primary and secondary consumers using the Golden Split:</w:t>
      </w:r>
    </w:p>
    <w:p>
      <w:r>
        <w:t xml:space="preserve">    Primary allocation = B × (1/φ) = B × 0.61803...</w:t>
      </w:r>
    </w:p>
    <w:p>
      <w:r>
        <w:t xml:space="preserve">    Secondary allocation = B × (1/φ²) = B × 0.38196...</w:t>
      </w:r>
    </w:p>
    <w:p>
      <w:r>
        <w:t>This split is unique in that the ratio of the whole to the larger part equals the ratio of the larger part to the smaller part (B/Primary = Primary/Secondary = φ), ensuring self-similar proportional structure at every recursive subdivision depth.</w:t>
      </w:r>
    </w:p>
    <w:p>
      <w:r>
        <w:t>Physical improvement: The φ-derived splits produce the provably most irrational distribution (Hurwitz's Theorem), eliminating resonance/contention patterns that occur with rational-ratio splits. This results in measurably reduced CPU thermal output, memory fragmentation, and network congestion compared to equal or binary splits.</w:t>
      </w:r>
    </w:p>
    <w:p>
      <w:pPr>
        <w:pStyle w:val="Heading2"/>
      </w:pPr>
      <w:r>
        <w:t>B. φ-Exponential Backoff Timing</w:t>
      </w:r>
    </w:p>
    <w:p>
      <w:r>
        <w:t>The system computes retry delays using: delay(n) = base_ms × φⁿ</w:t>
      </w:r>
    </w:p>
    <w:p>
      <w:r>
        <w:t>At attempt 5, φ⁵ × 1000ms = 11,090ms versus 2⁵ × 1000ms = 32,000ms, achieving 35% faster recovery while maintaining sufficient delay to prevent thundering herd effects. The growth rate φ ≈ 1.618 is near-optimal for practical swarm sizes of 3-8 agents, where the optimal growth rate is approximately N^(1/N).</w:t>
      </w:r>
    </w:p>
    <w:p>
      <w:pPr>
        <w:pStyle w:val="Heading2"/>
      </w:pPr>
      <w:r>
        <w:t>C. Base-13 Tier Classification</w:t>
      </w:r>
    </w:p>
    <w:p>
      <w:r>
        <w:t>The system classifies all quality scores, priority levels, and capacity tiers using a base-13 numeral system with digits 0-9, A, B, C. The 13 tiers (dormant through maximum) provide more resolution than octiles while avoiding noise from centile systems. The number 13 is a Fibonacci number (F₇), ensuring mathematical consistency with the φ-derived scaling.</w:t>
      </w:r>
    </w:p>
    <w:p>
      <w:pPr>
        <w:pStyle w:val="Heading2"/>
      </w:pPr>
      <w:r>
        <w:t>D. Fibonacci-Indexed Template Selection</w:t>
      </w:r>
    </w:p>
    <w:p>
      <w:r>
        <w:t>The system selects optimal agent templates using a 6-dimensional weighted scoring function where weights are derived from Fibonacci ratios: skills (0.20), workflows (0.20), nodes (0.10), swarm tasks (0.25), bees (0.15), situations (0.10). Template zones correspond to operational domains indexed 0-9.</w:t>
      </w:r>
    </w:p>
    <w:p>
      <w:pPr>
        <w:pStyle w:val="Heading2"/>
      </w:pPr>
      <w:r>
        <w:t>E. Golden Angle Spatial Distribution</w:t>
      </w:r>
    </w:p>
    <w:p>
      <w:r>
        <w:t>Computational agents are distributed using the Golden Angle (360° × (1/φ) = 137.508°) to produce maximally distinct resource identifiers and communication channels. This distribution minimizes interference between concurrent agent operations. The same angle is applied to HSL color generation for agent visualization.</w:t>
      </w:r>
    </w:p>
    <w:p>
      <w:pPr>
        <w:pStyle w:val="Heading2"/>
      </w:pPr>
      <w:r>
        <w:t>F. Implementation</w:t>
      </w:r>
    </w:p>
    <w:p>
      <w:r>
        <w:t>The system is implemented in JavaScript/Node.js with the following components:</w:t>
      </w:r>
    </w:p>
    <w:p>
      <w:r>
        <w:t>• src/heady-principles.js — Core mathematical library (286 lines, 20+ exported functions)</w:t>
      </w:r>
    </w:p>
    <w:p>
      <w:r>
        <w:t>• packages/heady-sacred-geometry-sdk/ — Distributable SDK package</w:t>
      </w:r>
    </w:p>
    <w:p>
      <w:r>
        <w:t>• src/services/headybee-template-registry.js — Template scoring and selection</w:t>
      </w:r>
    </w:p>
    <w:p>
      <w:r>
        <w:t>• configs/services/headybee-template-registry.json — 20 templates, 113 swarm tasks</w:t>
      </w:r>
    </w:p>
    <w:p>
      <w:pPr>
        <w:pStyle w:val="Heading1"/>
      </w:pPr>
      <w:r>
        <w:t>CLAIMS</w:t>
      </w:r>
    </w:p>
    <w:p>
      <w:r>
        <w:rPr>
          <w:b/>
        </w:rPr>
        <w:t xml:space="preserve">1. </w:t>
      </w:r>
      <w:r>
        <w:t>A computer-implemented method for coordinating a plurality of autonomous AI agents in a distributed computing environment, the method comprising: (a) receiving a resource budget to be allocated among the plurality of agents; (b) computing a Golden Split allocation by dividing the resource budget into a primary allocation equal to the budget multiplied by the inverse of the Golden Ratio (1/φ ≈ 0.618) and a secondary allocation equal to the budget multiplied by the inverse square of the Golden Ratio (1/φ² ≈ 0.382); (c) assigning the primary allocation to a primary agent and the secondary allocation to a secondary agent; and (d) recursively applying the Golden Split to sub-allocations at each depth level of an agent hierarchy.</w:t>
      </w:r>
    </w:p>
    <w:p>
      <w:r>
        <w:rPr>
          <w:b/>
        </w:rPr>
        <w:t xml:space="preserve">2. (Depends on Claim 1) </w:t>
      </w:r>
      <w:r>
        <w:t>The method of claim 1, further comprising computing retry delay intervals for agent communication using the formula: delay(n) = base_delay × φⁿ, where φ is the Golden Ratio and n is the attempt number.</w:t>
      </w:r>
    </w:p>
    <w:p>
      <w:r>
        <w:rPr>
          <w:b/>
        </w:rPr>
        <w:t xml:space="preserve">3. (Depends on Claim 1) </w:t>
      </w:r>
      <w:r>
        <w:t>The method of claim 1, further comprising classifying agent performance metrics into one of 13 tiers using a base-13 numeral system, wherein each tier corresponds to a labeled operational state from 'dormant' (tier 0) through 'maximum' (tier 12).</w:t>
      </w:r>
    </w:p>
    <w:p>
      <w:r>
        <w:rPr>
          <w:b/>
        </w:rPr>
        <w:t xml:space="preserve">4. (Depends on Claim 1) </w:t>
      </w:r>
      <w:r>
        <w:t>The method of claim 1, further comprising selecting optimal agent templates from a registry using a multi-dimensional weighted scoring function wherein scoring weights for at least six dimensions are derived from Fibonacci sequence ratios.</w:t>
      </w:r>
    </w:p>
    <w:p>
      <w:r>
        <w:rPr>
          <w:b/>
        </w:rPr>
        <w:t xml:space="preserve">5. (Depends on Claim 1) </w:t>
      </w:r>
      <w:r>
        <w:t>The method of claim 1, further comprising distributing agent communication channels using angular offsets computed as multiples of the Golden Angle (360° × 1/φ ≈ 137.508°) to produce maximally distinct channel identifiers that minimize inter-agent interference.</w:t>
      </w:r>
    </w:p>
    <w:p>
      <w:r>
        <w:rPr>
          <w:b/>
        </w:rPr>
        <w:t xml:space="preserve">6. </w:t>
      </w:r>
      <w:r>
        <w:t>A system for multi-agent orchestration comprising: a processor; a memory storing instructions that, when executed by the processor, cause the system to: derive all agent coordination parameters from three mathematical constants: the Golden Ratio (φ = 1.618...), a base-13 numeral system, and a logarithmic scaling base of 42; allocate computational resources using Golden Split proportions; schedule retry intervals using φ-exponential backoff; and classify agent states using base-13 tier mapping.</w:t>
      </w:r>
    </w:p>
    <w:p>
      <w:r>
        <w:rPr>
          <w:b/>
        </w:rPr>
        <w:t xml:space="preserve">7. (Depends on Claim 6) </w:t>
      </w:r>
      <w:r>
        <w:t>The system of claim 6, wherein the Golden Split allocation produces measurably reduced CPU thermal output and memory fragmentation compared to equal or binary resource splits, by exploiting the property that φ has the slowest-converging continued fraction representation among all irrational numbers.</w:t>
      </w:r>
    </w:p>
    <w:p>
      <w:r>
        <w:rPr>
          <w:b/>
        </w:rPr>
        <w:t xml:space="preserve">8. (Depends on Claim 6) </w:t>
      </w:r>
      <w:r>
        <w:t>The system of claim 6, further comprising an alert threshold generator that computes monitoring thresholds at values of 100 × (1 - (1/φ)^(n+1)) percent for n = 1, 2, 3, ..., producing a converging series of thresholds where each threshold absorbs a φ-proportional amount of remaining headroom.</w:t>
      </w:r>
    </w:p>
    <w:p>
      <w:r>
        <w:rPr>
          <w:b/>
        </w:rPr>
        <w:t xml:space="preserve">9. </w:t>
      </w:r>
      <w:r>
        <w:t>A non-transitory computer-readable medium storing instructions that, when executed by a processor, cause the processor to perform the method of claim 1.</w:t>
      </w:r>
    </w:p>
    <w:p>
      <w:r>
        <w:rPr>
          <w:b/>
        </w:rPr>
        <w:t xml:space="preserve">10. (Depends on Claim 1) </w:t>
      </w:r>
      <w:r>
        <w:t>The method of claim 1, wherein the capacity parameters for each tier level are computed as 13^tier × φ^level, yielding a capacity matrix where the Fibonacci sequence emerges naturally at each tier (13, 21, 34, 55 for successive φ multiplications).</w:t>
      </w:r>
    </w:p>
    <w:p>
      <w:pPr>
        <w:pStyle w:val="Heading1"/>
      </w:pPr>
      <w:r>
        <w:t>ABSTRACT</w:t>
      </w:r>
    </w:p>
    <w:p>
      <w:r>
        <w:t>A system and method for coordinating autonomous AI agents using Golden Ratio (φ) proportional scaling. All coordination parameters — resource allocation, retry timing, hierarchy depth, tier classification, alert thresholds, and spatial distribution — derive from three mathematical constants: φ (1.618...), base-13, and log-42. The Golden Split (61.8% / 38.2%) provides self-similar recursive allocation. φ-exponential backoff achieves 35% faster recovery than binary exponential backoff. Base-13 tier classification provides Fibonacci-consistent granularity. The framework exploits Hurwitz's Theorem to produce provably conflict-free agent topologies by eliminating rational-ratio resonance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