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32"/>
        </w:rPr>
        <w:t>PROVISIONAL PATENT APPLICATION</w:t>
      </w:r>
    </w:p>
    <w:p>
      <w:pPr>
        <w:jc w:val="center"/>
      </w:pPr>
      <w:r>
        <w:rPr>
          <w:sz w:val="24"/>
        </w:rPr>
        <w:t>Under 35 U.S.C. § 111(b)</w:t>
      </w:r>
    </w:p>
    <w:p/>
    <w:p>
      <w:pPr>
        <w:jc w:val="center"/>
      </w:pPr>
      <w:r>
        <w:rPr>
          <w:b/>
          <w:sz w:val="28"/>
        </w:rPr>
        <w:t>PREDICTIVE CROSS-VECTOR THREAT MODELING SYSTEM WITH TIME-REVERSAL NETWORK FORENSICS</w:t>
      </w:r>
    </w:p>
    <w:p/>
    <w:tbl>
      <w:tblPr>
        <w:tblStyle w:val="TableGrid"/>
        <w:tblW w:type="auto" w:w="0"/>
        <w:tblLook w:firstColumn="1" w:firstRow="1" w:lastColumn="0" w:lastRow="0" w:noHBand="0" w:noVBand="1" w:val="04A0"/>
      </w:tblPr>
      <w:tblGrid>
        <w:gridCol w:w="4320"/>
        <w:gridCol w:w="4320"/>
      </w:tblGrid>
      <w:tr>
        <w:tc>
          <w:tcPr>
            <w:tcW w:type="dxa" w:w="4320"/>
          </w:tcPr>
          <w:p>
            <w:r>
              <w:rPr>
                <w:b/>
              </w:rPr>
              <w:t>Docket Number:</w:t>
            </w:r>
          </w:p>
        </w:tc>
        <w:tc>
          <w:tcPr>
            <w:tcW w:type="dxa" w:w="4320"/>
          </w:tcPr>
          <w:p>
            <w:r>
              <w:t>HS-2026-005</w:t>
            </w:r>
          </w:p>
        </w:tc>
      </w:tr>
      <w:tr>
        <w:tc>
          <w:tcPr>
            <w:tcW w:type="dxa" w:w="4320"/>
          </w:tcPr>
          <w:p>
            <w:r>
              <w:rPr>
                <w:b/>
              </w:rPr>
              <w:t>Filing Date:</w:t>
            </w:r>
          </w:p>
        </w:tc>
        <w:tc>
          <w:tcPr>
            <w:tcW w:type="dxa" w:w="4320"/>
          </w:tcPr>
          <w:p>
            <w:r>
              <w:t>March 3, 2026</w:t>
            </w:r>
          </w:p>
        </w:tc>
      </w:tr>
      <w:tr>
        <w:tc>
          <w:tcPr>
            <w:tcW w:type="dxa" w:w="4320"/>
          </w:tcPr>
          <w:p>
            <w:r>
              <w:rPr>
                <w:b/>
              </w:rPr>
              <w:t>Inventor:</w:t>
            </w:r>
          </w:p>
        </w:tc>
        <w:tc>
          <w:tcPr>
            <w:tcW w:type="dxa" w:w="4320"/>
          </w:tcPr>
          <w:p>
            <w:r>
              <w:t>Eric Haywood</w:t>
            </w:r>
          </w:p>
        </w:tc>
      </w:tr>
      <w:tr>
        <w:tc>
          <w:tcPr>
            <w:tcW w:type="dxa" w:w="4320"/>
          </w:tcPr>
          <w:p>
            <w:r>
              <w:rPr>
                <w:b/>
              </w:rPr>
              <w:t>Inventor Address:</w:t>
            </w:r>
          </w:p>
        </w:tc>
        <w:tc>
          <w:tcPr>
            <w:tcW w:type="dxa" w:w="4320"/>
          </w:tcPr>
          <w:p>
            <w:r>
              <w:t>149 Remington Street Unit 425, Fort Collins, CO 80524</w:t>
            </w:r>
          </w:p>
        </w:tc>
      </w:tr>
      <w:tr>
        <w:tc>
          <w:tcPr>
            <w:tcW w:type="dxa" w:w="4320"/>
          </w:tcPr>
          <w:p>
            <w:r>
              <w:rPr>
                <w:b/>
              </w:rPr>
              <w:t>Assignee:</w:t>
            </w:r>
          </w:p>
        </w:tc>
        <w:tc>
          <w:tcPr>
            <w:tcW w:type="dxa" w:w="4320"/>
          </w:tcPr>
          <w:p>
            <w:r>
              <w:t>HeadySystems Inc.</w:t>
            </w:r>
          </w:p>
        </w:tc>
      </w:tr>
      <w:tr>
        <w:tc>
          <w:tcPr>
            <w:tcW w:type="dxa" w:w="4320"/>
          </w:tcPr>
          <w:p>
            <w:r>
              <w:rPr>
                <w:b/>
              </w:rPr>
              <w:t>Assignee Address:</w:t>
            </w:r>
          </w:p>
        </w:tc>
        <w:tc>
          <w:tcPr>
            <w:tcW w:type="dxa" w:w="4320"/>
          </w:tcPr>
          <w:p>
            <w:r>
              <w:t>149 Remington Street Unit 425, Fort Collins, CO 80524</w:t>
            </w:r>
          </w:p>
        </w:tc>
      </w:tr>
      <w:tr>
        <w:tc>
          <w:tcPr>
            <w:tcW w:type="dxa" w:w="4320"/>
          </w:tcPr>
          <w:p>
            <w:r>
              <w:rPr>
                <w:b/>
              </w:rPr>
              <w:t>Correspondence:</w:t>
            </w:r>
          </w:p>
        </w:tc>
        <w:tc>
          <w:tcPr>
            <w:tcW w:type="dxa" w:w="4320"/>
          </w:tcPr>
          <w:p>
            <w:r>
              <w:t>Eric Haywood</w:t>
              <w:br/>
              <w:t>149 Remington Street Unit 425, Fort Collins, CO 80524</w:t>
              <w:br/>
              <w:t>Email: eric@headyme.com</w:t>
            </w:r>
          </w:p>
        </w:tc>
      </w:tr>
    </w:tbl>
    <w:p>
      <w:r>
        <w:br w:type="page"/>
      </w:r>
    </w:p>
    <w:p>
      <w:pPr>
        <w:pStyle w:val="Heading1"/>
      </w:pPr>
      <w:r>
        <w:t>TITLE OF THE INVENTION</w:t>
      </w:r>
    </w:p>
    <w:p>
      <w:r>
        <w:t>Predictive Cross-Vector Threat Modeling System with Time-Reversal Network Forensics</w:t>
      </w:r>
    </w:p>
    <w:p>
      <w:pPr>
        <w:pStyle w:val="Heading1"/>
      </w:pPr>
      <w:r>
        <w:t>FIELD OF THE INVENTION</w:t>
      </w:r>
    </w:p>
    <w:p>
      <w:r>
        <w:t>The present invention relates to cybersecurity and intrusion detection, and more particularly to a predictive threat modeling system that detects network attacks before hard threshold breach by analyzing statistical deviations from baseline operational states and tracing attack origins through network routing table reversal.</w:t>
      </w:r>
    </w:p>
    <w:p>
      <w:pPr>
        <w:pStyle w:val="Heading1"/>
      </w:pPr>
      <w:r>
        <w:t>SUMMARY OF THE INVENTION</w:t>
      </w:r>
    </w:p>
    <w:p>
      <w:r>
        <w:t>The system: (1) uses ML algorithms to map baseline operational state from continuous container log analysis; (2) dynamically adjusts SYN flood and ping thresholds based on historical baselines; (3) takes pre-emptive action on gradual statistical deviation before thresholds are breached; and (4) applies time-reversal acoustics concepts to TCP/IP routing tables to trace and isolate attack origin nodes before lateral movement occurs.</w:t>
      </w:r>
    </w:p>
    <w:p>
      <w:r>
        <w:t>Key innovation: SYN flood detection threshold = trie.root.volume × φ, where φ is the Golden Ratio, providing a mathematically optimal detection boundary.</w:t>
      </w:r>
    </w:p>
    <w:p>
      <w:pPr>
        <w:pStyle w:val="Heading1"/>
      </w:pPr>
      <w:r>
        <w:t>CLAIMS</w:t>
      </w:r>
    </w:p>
    <w:p>
      <w:r>
        <w:rPr>
          <w:b/>
        </w:rPr>
        <w:t xml:space="preserve">1. </w:t>
      </w:r>
      <w:r>
        <w:t>A computer-implemented method for predictive network threat detection comprising: (a) continuously analyzing container logs from distributed services to establish a baseline operational state model; (b) computing dynamic threat detection thresholds as a function of baseline metrics multiplied by the Golden Ratio (φ ≈ 1.618); (c) detecting gradual statistical deviations from the baseline that indicate emerging threats before hard thresholds are breached; (d) pre-emptively routing network traffic and throttling connections upon detection of deviation trends; and (e) applying time-reversal path tracing through network routing tables to identify and isolate the origin node of detected threats.</w:t>
      </w:r>
    </w:p>
    <w:p>
      <w:r>
        <w:rPr>
          <w:b/>
        </w:rPr>
        <w:t xml:space="preserve">2. (Depends on Claim 1) </w:t>
      </w:r>
      <w:r>
        <w:t>The method of claim 1, wherein the SYN flood detection threshold is computed as the product of the IP trie root volume and the Golden Ratio (φ).</w:t>
      </w:r>
    </w:p>
    <w:p>
      <w:r>
        <w:rPr>
          <w:b/>
        </w:rPr>
        <w:t xml:space="preserve">3. </w:t>
      </w:r>
      <w:r>
        <w:t>A cybersecurity system comprising a processor configured to execute the method of claim 1, wherein the system physically blocks network ports and reallocates memory based on state-transition analysis derived from the predictive threat model.</w:t>
      </w:r>
    </w:p>
    <w:p>
      <w:pPr>
        <w:pStyle w:val="Heading1"/>
      </w:pPr>
      <w:r>
        <w:t>ABSTRACT</w:t>
      </w:r>
    </w:p>
    <w:p>
      <w:r>
        <w:t>A predictive cross-vector threat modeling system that detects network attacks before hard threshold breach. The system establishes baseline operational states from continuous container log analysis, computes dynamic detection thresholds using the Golden Ratio (φ), and applies time-reversal path tracing through network routing tables to isolate attack origin nodes before lateral movement. Pre-emptive traffic routing and connection throttling occur on statistical deviation trends rather than threshold breaches.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