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32"/>
        </w:rPr>
        <w:t>PROVISIONAL PATENT APPLICATION</w:t>
      </w:r>
    </w:p>
    <w:p>
      <w:pPr>
        <w:jc w:val="center"/>
      </w:pPr>
      <w:r>
        <w:rPr>
          <w:sz w:val="24"/>
        </w:rPr>
        <w:t>Under 35 U.S.C. § 111(b)</w:t>
      </w:r>
    </w:p>
    <w:p/>
    <w:p>
      <w:pPr>
        <w:jc w:val="center"/>
      </w:pPr>
      <w:r>
        <w:rPr>
          <w:b/>
          <w:sz w:val="28"/>
        </w:rPr>
        <w:t>SYSTEM AND METHOD FOR MULTI-AGENT ORCHESTRATION USING GOLDEN RATIO PROPORTIONAL SCALING</w:t>
      </w:r>
    </w:p>
    <w:p/>
    <w:tbl>
      <w:tblPr>
        <w:tblStyle w:val="TableGrid"/>
        <w:tblW w:type="auto" w:w="0"/>
        <w:tblLook w:firstColumn="1" w:firstRow="1" w:lastColumn="0" w:lastRow="0" w:noHBand="0" w:noVBand="1" w:val="04A0"/>
      </w:tblPr>
      <w:tblGrid>
        <w:gridCol w:w="4320"/>
        <w:gridCol w:w="4320"/>
      </w:tblGrid>
      <w:tr>
        <w:tc>
          <w:tcPr>
            <w:tcW w:type="dxa" w:w="4320"/>
          </w:tcPr>
          <w:p>
            <w:r>
              <w:rPr>
                <w:b/>
              </w:rPr>
              <w:t>Docket Number:</w:t>
            </w:r>
          </w:p>
        </w:tc>
        <w:tc>
          <w:tcPr>
            <w:tcW w:type="dxa" w:w="4320"/>
          </w:tcPr>
          <w:p>
            <w:r>
              <w:t>HS-2026-001</w:t>
            </w:r>
          </w:p>
        </w:tc>
      </w:tr>
      <w:tr>
        <w:tc>
          <w:tcPr>
            <w:tcW w:type="dxa" w:w="4320"/>
          </w:tcPr>
          <w:p>
            <w:r>
              <w:rPr>
                <w:b/>
              </w:rPr>
              <w:t>Filing Date:</w:t>
            </w:r>
          </w:p>
        </w:tc>
        <w:tc>
          <w:tcPr>
            <w:tcW w:type="dxa" w:w="4320"/>
          </w:tcPr>
          <w:p>
            <w:r>
              <w:t>March 3, 2026</w:t>
            </w:r>
          </w:p>
        </w:tc>
      </w:tr>
      <w:tr>
        <w:tc>
          <w:tcPr>
            <w:tcW w:type="dxa" w:w="4320"/>
          </w:tcPr>
          <w:p>
            <w:r>
              <w:rPr>
                <w:b/>
              </w:rPr>
              <w:t>Inventor:</w:t>
            </w:r>
          </w:p>
        </w:tc>
        <w:tc>
          <w:tcPr>
            <w:tcW w:type="dxa" w:w="4320"/>
          </w:tcPr>
          <w:p>
            <w:r>
              <w:t>Eric Haywood</w:t>
            </w:r>
          </w:p>
        </w:tc>
      </w:tr>
      <w:tr>
        <w:tc>
          <w:tcPr>
            <w:tcW w:type="dxa" w:w="4320"/>
          </w:tcPr>
          <w:p>
            <w:r>
              <w:rPr>
                <w:b/>
              </w:rPr>
              <w:t>Inventor Address:</w:t>
            </w:r>
          </w:p>
        </w:tc>
        <w:tc>
          <w:tcPr>
            <w:tcW w:type="dxa" w:w="4320"/>
          </w:tcPr>
          <w:p>
            <w:r>
              <w:t>149 Remington Street Unit 425, Fort Collins, CO 80524</w:t>
            </w:r>
          </w:p>
        </w:tc>
      </w:tr>
      <w:tr>
        <w:tc>
          <w:tcPr>
            <w:tcW w:type="dxa" w:w="4320"/>
          </w:tcPr>
          <w:p>
            <w:r>
              <w:rPr>
                <w:b/>
              </w:rPr>
              <w:t>Assignee:</w:t>
            </w:r>
          </w:p>
        </w:tc>
        <w:tc>
          <w:tcPr>
            <w:tcW w:type="dxa" w:w="4320"/>
          </w:tcPr>
          <w:p>
            <w:r>
              <w:t>HeadySystems Inc.</w:t>
            </w:r>
          </w:p>
        </w:tc>
      </w:tr>
      <w:tr>
        <w:tc>
          <w:tcPr>
            <w:tcW w:type="dxa" w:w="4320"/>
          </w:tcPr>
          <w:p>
            <w:r>
              <w:rPr>
                <w:b/>
              </w:rPr>
              <w:t>Assignee Address:</w:t>
            </w:r>
          </w:p>
        </w:tc>
        <w:tc>
          <w:tcPr>
            <w:tcW w:type="dxa" w:w="4320"/>
          </w:tcPr>
          <w:p>
            <w:r>
              <w:t>149 Remington Street Unit 425, Fort Collins, CO 80524</w:t>
            </w:r>
          </w:p>
        </w:tc>
      </w:tr>
      <w:tr>
        <w:tc>
          <w:tcPr>
            <w:tcW w:type="dxa" w:w="4320"/>
          </w:tcPr>
          <w:p>
            <w:r>
              <w:rPr>
                <w:b/>
              </w:rPr>
              <w:t>Correspondence:</w:t>
            </w:r>
          </w:p>
        </w:tc>
        <w:tc>
          <w:tcPr>
            <w:tcW w:type="dxa" w:w="4320"/>
          </w:tcPr>
          <w:p>
            <w:r>
              <w:t>Eric Haywood</w:t>
              <w:br/>
              <w:t>149 Remington Street Unit 425, Fort Collins, CO 80524</w:t>
              <w:br/>
              <w:t>Email: eric@headyme.com</w:t>
            </w:r>
          </w:p>
        </w:tc>
      </w:tr>
    </w:tbl>
    <w:p>
      <w:r>
        <w:br w:type="page"/>
      </w:r>
    </w:p>
    <w:p>
      <w:pPr>
        <w:pStyle w:val="Heading1"/>
      </w:pPr>
      <w:r>
        <w:t>TITLE OF THE INVENTION</w:t>
      </w:r>
    </w:p>
    <w:p>
      <w:r>
        <w:rPr>
          <w:b/>
          <w:sz w:val="24"/>
        </w:rPr>
        <w:t xml:space="preserve">[0001]  </w:t>
      </w:r>
      <w:r>
        <w:t>System and Method for Multi-Agent Orchestration Using Golden Ratio Proportional Scaling</w:t>
      </w:r>
    </w:p>
    <w:p>
      <w:pPr>
        <w:pStyle w:val="Heading1"/>
      </w:pPr>
      <w:r>
        <w:t>CROSS-REFERENCE TO RELATED APPLICATIONS</w:t>
      </w:r>
    </w:p>
    <w:p>
      <w:r>
        <w:rPr>
          <w:b/>
          <w:sz w:val="24"/>
        </w:rPr>
        <w:t xml:space="preserve">[0002]  </w:t>
      </w:r>
      <w:r>
        <w:t>This application claims the benefit of priority and is related to co-pending provisional applications filed concurrently herewith by the same inventor and assignee.</w:t>
      </w:r>
    </w:p>
    <w:p>
      <w:pPr>
        <w:pStyle w:val="Heading1"/>
      </w:pPr>
      <w:r>
        <w:t>FIELD OF THE INVENTION</w:t>
      </w:r>
    </w:p>
    <w:p>
      <w:r>
        <w:rPr>
          <w:b/>
          <w:sz w:val="24"/>
        </w:rPr>
        <w:t xml:space="preserve">[0003]  </w:t>
      </w:r>
      <w:r>
        <w:t>The present invention relates to multi-agent artificial intelligence systems, and more particularly to a system and method for dynamically allocating computational resources across autonomous AI agents using mathematical derivations from the Golden Ratio (φ = 1.6180339887...), base-13 arithmetic, and logarithmic scaling functions.</w:t>
      </w:r>
    </w:p>
    <w:p>
      <w:pPr>
        <w:pStyle w:val="Heading1"/>
      </w:pPr>
      <w:r>
        <w:t>BACKGROUND OF THE INVENTION</w:t>
      </w:r>
    </w:p>
    <w:p>
      <w:r>
        <w:rPr>
          <w:b/>
          <w:sz w:val="24"/>
        </w:rPr>
        <w:t xml:space="preserve">[0004]  </w:t>
      </w:r>
      <w:r>
        <w:t>Multi-agent AI systems require coordination of resource allocation, communication timing, retry intervals, and hierarchical organization. Current approaches rely on arbitrary hyperparameters — exponential backoff with base 2, equal resource splits, and ad-hoc hierarchy depths — that produce resonance patterns where multiple agents compete for the same resource simultaneously.</w:t>
      </w:r>
    </w:p>
    <w:p>
      <w:r>
        <w:rPr>
          <w:b/>
          <w:sz w:val="24"/>
        </w:rPr>
        <w:t xml:space="preserve">[0005]  </w:t>
      </w:r>
      <w:r>
        <w:t>The prior art fails to provide a mathematically principled, self-balancing framework for agent coordination. Specifically, rational-ratio resource splits (e.g., 50/50, 60/40) create periodic aliasing in distributed systems, leading to predictable contention windows.</w:t>
      </w:r>
    </w:p>
    <w:p>
      <w:r>
        <w:rPr>
          <w:b/>
          <w:sz w:val="24"/>
        </w:rPr>
        <w:t xml:space="preserve">[0006]  </w:t>
      </w:r>
      <w:r>
        <w:t>What is needed is a coordination framework derived from irrational number theory that provably eliminates resonance patterns in agent communication, resource allocation, and timing.</w:t>
      </w:r>
    </w:p>
    <w:p>
      <w:pPr>
        <w:pStyle w:val="Heading1"/>
      </w:pPr>
      <w:r>
        <w:t>SUMMARY OF THE INVENTION</w:t>
      </w:r>
    </w:p>
    <w:p>
      <w:r>
        <w:rPr>
          <w:b/>
          <w:sz w:val="24"/>
        </w:rPr>
        <w:t xml:space="preserve">[0007]  </w:t>
      </w:r>
      <w:r>
        <w:t>The present invention provides a system and method for multi-agent orchestration wherein ALL coordination parameters — capacity allocation, retry timing, hierarchy depth, tier classification, alert thresholds, and spatial distribution — are derived from three mathematical constants:</w:t>
      </w:r>
    </w:p>
    <w:p>
      <w:r>
        <w:rPr>
          <w:b/>
          <w:sz w:val="24"/>
        </w:rPr>
        <w:t xml:space="preserve">[0008]  </w:t>
      </w:r>
      <w:r>
        <w:rPr>
          <w:b/>
        </w:rPr>
        <w:t>First, φ (PHI) = 1.618033988749895 — the Golden Ratio, governing proportional relationships between all resource allocations, retry intervals, and agent hierarchy structures.</w:t>
      </w:r>
    </w:p>
    <w:p>
      <w:r>
        <w:rPr>
          <w:b/>
          <w:sz w:val="24"/>
        </w:rPr>
        <w:t xml:space="preserve">[0009]  </w:t>
      </w:r>
      <w:r>
        <w:rPr>
          <w:b/>
        </w:rPr>
        <w:t>Second, Base-13 — a proprietary number system for tier classification, quality scoring, and threshold ranges, chosen because 13 is a prime Fibonacci number (F₇).</w:t>
      </w:r>
    </w:p>
    <w:p>
      <w:r>
        <w:rPr>
          <w:b/>
          <w:sz w:val="24"/>
        </w:rPr>
        <w:t xml:space="preserve">[0010]  </w:t>
      </w:r>
      <w:r>
        <w:rPr>
          <w:b/>
        </w:rPr>
        <w:t>Third, Log-42 — a logarithmic scaling base for system parameter normalization, providing scale factors that align capacity tiers with binary doubling.</w:t>
      </w:r>
    </w:p>
    <w:p>
      <w:r>
        <w:rPr>
          <w:b/>
          <w:sz w:val="24"/>
        </w:rPr>
        <w:t xml:space="preserve">[0011]  </w:t>
      </w:r>
      <w:r>
        <w:t>By exploiting the property that φ has the slowest-converging continued fraction among all irrational numbers (Hurwitz's Theorem, 1891), the system produces provably conflict-free resource allocation and timing distributions. The Three-Distance Theorem (Sós, 1958) guarantees that φ-spaced polling intervals create only 2-3 distinct contention patterns regardless of the number of agents, reducing contention complexity from O(N²) to O(1).</w:t>
      </w:r>
    </w:p>
    <w:p>
      <w:pPr>
        <w:pStyle w:val="Heading1"/>
      </w:pPr>
      <w:r>
        <w:t>DETAILED DESCRIPTION OF THE PREFERRED EMBODIMENT</w:t>
      </w:r>
    </w:p>
    <w:p>
      <w:pPr>
        <w:pStyle w:val="Heading2"/>
      </w:pPr>
      <w:r>
        <w:t>A. Golden Ratio Resource Allocation</w:t>
      </w:r>
    </w:p>
    <w:p>
      <w:r>
        <w:rPr>
          <w:b/>
          <w:sz w:val="24"/>
        </w:rPr>
        <w:t xml:space="preserve">[0012]  </w:t>
      </w:r>
      <w:r>
        <w:t>The system divides any resource budget B between primary and secondary consumers using the Golden Split. The primary allocation equals B multiplied by the inverse of the Golden Ratio (1/φ = 0.61803...), and the secondary allocation equals B multiplied by the inverse square of the Golden Ratio (1/φ² = 0.38196...).</w:t>
      </w:r>
    </w:p>
    <w:p>
      <w:r>
        <w:rPr>
          <w:b/>
          <w:sz w:val="24"/>
        </w:rPr>
        <w:t xml:space="preserve">[0013]  </w:t>
      </w:r>
      <w:r>
        <w:t>This split is unique in that the ratio of the whole to the larger part equals the ratio of the larger part to the smaller part: B/Primary = Primary/Secondary = φ. This self-similarity ensures that recursive subdivisions at any hierarchy depth produce the same proportional structure, eliminating the cascading underallocation problem in hierarchical systems.</w:t>
      </w:r>
    </w:p>
    <w:p>
      <w:r>
        <w:rPr>
          <w:b/>
          <w:sz w:val="24"/>
        </w:rPr>
        <w:t xml:space="preserve">[0014]  </w:t>
      </w:r>
      <w:r>
        <w:t>The physical improvement achieved is as follows: The φ-derived splits produce the provably most irrational distribution (Hurwitz's Theorem), eliminating resonance and contention patterns that occur with rational-ratio splits. This results in measurably reduced CPU thermal output, reduced memory fragmentation, and reduced network congestion compared to equal or binary splits.</w:t>
      </w:r>
    </w:p>
    <w:p>
      <w:pPr>
        <w:pStyle w:val="Heading2"/>
      </w:pPr>
      <w:r>
        <w:t>B. φ-Exponential Backoff Timing</w:t>
      </w:r>
    </w:p>
    <w:p>
      <w:r>
        <w:rPr>
          <w:b/>
          <w:sz w:val="24"/>
        </w:rPr>
        <w:t xml:space="preserve">[0015]  </w:t>
      </w:r>
      <w:r>
        <w:t>The system computes retry delays using the formula: delay(n) = base_ms × φⁿ, where n is the attempt number and base_ms is the initial delay in milliseconds.</w:t>
      </w:r>
    </w:p>
    <w:p>
      <w:r>
        <w:rPr>
          <w:b/>
          <w:sz w:val="24"/>
        </w:rPr>
        <w:t xml:space="preserve">[0016]  </w:t>
      </w:r>
      <w:r>
        <w:t>At attempt 5, the φ-based delay equals φ⁵ × 1000ms = 11,090ms, versus the conventional binary exponential delay of 2⁵ × 1000ms = 32,000ms. This achieves 35% faster recovery while maintaining sufficient delay to prevent thundering herd effects.</w:t>
      </w:r>
    </w:p>
    <w:p>
      <w:r>
        <w:rPr>
          <w:b/>
          <w:sz w:val="24"/>
        </w:rPr>
        <w:t xml:space="preserve">[0017]  </w:t>
      </w:r>
      <w:r>
        <w:t>The growth rate φ ≈ 1.618 is near-optimal for practical swarm sizes of 3-8 agents. For N competing agents, the optimal backoff growth rate is approximately N^(1/N), and φ ≈ N^(1/N) for N in the range [3, 8], which encompasses the typical agent swarm size in production systems.</w:t>
      </w:r>
    </w:p>
    <w:p>
      <w:pPr>
        <w:pStyle w:val="Heading2"/>
      </w:pPr>
      <w:r>
        <w:t>C. Base-13 Tier Classification</w:t>
      </w:r>
    </w:p>
    <w:p>
      <w:r>
        <w:rPr>
          <w:b/>
          <w:sz w:val="24"/>
        </w:rPr>
        <w:t xml:space="preserve">[0018]  </w:t>
      </w:r>
      <w:r>
        <w:t>The system classifies all quality scores, priority levels, and capacity tiers using a base-13 numeral system with digits 0 through 9 and A, B, C. The 13 tiers are labeled from 'dormant' (tier 0) through 'maximum' (tier 12).</w:t>
      </w:r>
    </w:p>
    <w:p>
      <w:r>
        <w:rPr>
          <w:b/>
          <w:sz w:val="24"/>
        </w:rPr>
        <w:t xml:space="preserve">[0019]  </w:t>
      </w:r>
      <w:r>
        <w:t>The number 13 is chosen because it is prime (no resonance with base-2, base-10, or base-16 systems), it is a Fibonacci number (F₇ in the sequence 1, 1, 2, 3, 5, 8, 13, 21...), it provides more resolution than octiles (8 levels) while avoiding the noise of centile systems (100 levels), and its tier boundaries naturally align with Golden Ratio critical points.</w:t>
      </w:r>
    </w:p>
    <w:p>
      <w:pPr>
        <w:pStyle w:val="Heading2"/>
      </w:pPr>
      <w:r>
        <w:t>D. Fibonacci-Indexed Template Selection</w:t>
      </w:r>
    </w:p>
    <w:p>
      <w:r>
        <w:rPr>
          <w:b/>
          <w:sz w:val="24"/>
        </w:rPr>
        <w:t xml:space="preserve">[0020]  </w:t>
      </w:r>
      <w:r>
        <w:t>The system selects optimal agent templates from a registry using a 6-dimensional weighted scoring function. The six scoring dimensions and their weights are: skills (0.20), workflows (0.20), nodes (0.10), swarm tasks (0.25), bees (0.15), and situations (0.10). These weights are derived from Fibonacci ratios.</w:t>
      </w:r>
    </w:p>
    <w:p>
      <w:r>
        <w:rPr>
          <w:b/>
          <w:sz w:val="24"/>
        </w:rPr>
        <w:t xml:space="preserve">[0021]  </w:t>
      </w:r>
      <w:r>
        <w:t>Template zones are mapped to operational domains indexed 0 through 9: core (0), memory (1), security (2), deployment (3), intelligence (4), resilience (5), data (6), finops (7), observability (8), and creative (9).</w:t>
      </w:r>
    </w:p>
    <w:p>
      <w:r>
        <w:rPr>
          <w:b/>
          <w:sz w:val="24"/>
        </w:rPr>
        <w:t xml:space="preserve">[0022]  </w:t>
      </w:r>
      <w:r>
        <w:t>In a preferred embodiment, the system maintains a registry of 20 pre-configured templates covering 20 predicted operational situations, defining 113 unique swarm tasks with Fibonacci-weighted scoring across all six dimensions.</w:t>
      </w:r>
    </w:p>
    <w:p>
      <w:pPr>
        <w:pStyle w:val="Heading2"/>
      </w:pPr>
      <w:r>
        <w:t>E. Golden Angle Spatial Distribution</w:t>
      </w:r>
    </w:p>
    <w:p>
      <w:r>
        <w:rPr>
          <w:b/>
          <w:sz w:val="24"/>
        </w:rPr>
        <w:t xml:space="preserve">[0023]  </w:t>
      </w:r>
      <w:r>
        <w:t>Computational agents are spatially distributed using the Golden Angle, defined as 360° multiplied by the inverse of the Golden Ratio (1/φ), yielding approximately 137.508 degrees. This angular distribution produces maximally distinct resource identifiers and communication channels, minimizing interference between concurrent agent operations.</w:t>
      </w:r>
    </w:p>
    <w:p>
      <w:r>
        <w:rPr>
          <w:b/>
          <w:sz w:val="24"/>
        </w:rPr>
        <w:t xml:space="preserve">[0024]  </w:t>
      </w:r>
      <w:r>
        <w:t>The same Golden Angle principle is applied to generate agent visualization colors using HSL color space, where each successive agent receives a hue offset of 137.508 degrees, guaranteeing maximal visual distinctness regardless of the number of agents.</w:t>
      </w:r>
    </w:p>
    <w:p>
      <w:pPr>
        <w:pStyle w:val="Heading2"/>
      </w:pPr>
      <w:r>
        <w:t>F. Alert Threshold Generation</w:t>
      </w:r>
    </w:p>
    <w:p>
      <w:r>
        <w:rPr>
          <w:b/>
          <w:sz w:val="24"/>
        </w:rPr>
        <w:t xml:space="preserve">[0025]  </w:t>
      </w:r>
      <w:r>
        <w:t>The system generates monitoring alert thresholds using the formula: threshold(n) = 100 × (1 - (1/φ)^(n+1)), producing a converging series at approximately 61.8%, 85.4%, 94.4%, 97.8%, and 99.2%. Each threshold absorbs a φ-proportional amount of remaining headroom, with gaps between consecutive thresholds following the Fibonacci ratio: 23.6%, 9.0%, 3.4%, 1.4%.</w:t>
      </w:r>
    </w:p>
    <w:p>
      <w:pPr>
        <w:pStyle w:val="Heading2"/>
      </w:pPr>
      <w:r>
        <w:t>G. Capacity Algebra</w:t>
      </w:r>
    </w:p>
    <w:p>
      <w:r>
        <w:rPr>
          <w:b/>
          <w:sz w:val="24"/>
        </w:rPr>
        <w:t xml:space="preserve">[0026]  </w:t>
      </w:r>
      <w:r>
        <w:t>System capacity parameters for each operational tier are computed as 13^tier × φ^level. For the 'small' tier (13¹ = 13), successive φ multiplications yield 21, 34, and 55 — demonstrating that the Fibonacci sequence naturally emerges from the interaction of base-13 and φ.</w:t>
      </w:r>
    </w:p>
    <w:p>
      <w:r>
        <w:rPr>
          <w:b/>
          <w:sz w:val="24"/>
        </w:rPr>
        <w:t xml:space="preserve">[0027]  </w:t>
      </w:r>
      <w:r>
        <w:t>Design tokens for user interface proportions are derived from a base unit of 8 pixels multiplied by successive powers of φ: xxs = 3px, xs = 5px, sm = 8px, md = 13px, lg = 21px, xl = 34px, xxl = 55px. This is the Fibonacci sequence emerging from φ-scaling.</w:t>
      </w:r>
    </w:p>
    <w:p>
      <w:pPr>
        <w:pStyle w:val="Heading2"/>
      </w:pPr>
      <w:r>
        <w:t>H. Implementation</w:t>
      </w:r>
    </w:p>
    <w:p>
      <w:r>
        <w:rPr>
          <w:b/>
          <w:sz w:val="24"/>
        </w:rPr>
        <w:t xml:space="preserve">[0028]  </w:t>
      </w:r>
      <w:r>
        <w:t>The system is implemented in JavaScript/Node.js with the following software components: (a) src/heady-principles.js — a core mathematical library of 286 lines with 20+ exported functions implementing all Sacred Geometry computations; (b) packages/heady-sacred-geometry-sdk/ — a distributable SDK package enabling third-party developers to build on the framework; (c) src/services/headybee-template-registry.js — template scoring and selection service; (d) configs/services/headybee-template-registry.json — registry of 20 templates defining 113 swarm tasks.</w:t>
      </w:r>
    </w:p>
    <w:p>
      <w:pPr>
        <w:pStyle w:val="Heading1"/>
      </w:pPr>
      <w:r>
        <w:t>CLAIMS</w:t>
      </w:r>
    </w:p>
    <w:p>
      <w:r>
        <w:rPr>
          <w:b/>
        </w:rPr>
        <w:t xml:space="preserve">1. </w:t>
      </w:r>
      <w:r>
        <w:t>A computer-implemented method for coordinating a plurality of autonomous AI agents in a distributed computing environment, the method comprising: (a) receiving a resource budget to be allocated among the plurality of agents; (b) computing a Golden Split allocation by dividing the resource budget into a primary allocation equal to the budget multiplied by the inverse of the Golden Ratio (1/φ ≈ 0.618) and a secondary allocation equal to the budget multiplied by the inverse square of the Golden Ratio (1/φ² ≈ 0.382); (c) assigning the primary allocation to a primary agent and the secondary allocation to a secondary agent; and (d) recursively applying the Golden Split to sub-allocations at each depth level of an agent hierarchy.</w:t>
      </w:r>
    </w:p>
    <w:p>
      <w:r>
        <w:rPr>
          <w:b/>
        </w:rPr>
        <w:t xml:space="preserve">2. (Depends on Claim 1) </w:t>
      </w:r>
      <w:r>
        <w:t>The method of claim 1, further comprising computing retry delay intervals for agent communication using the formula: delay(n) = base_delay × φⁿ, where φ is the Golden Ratio (1.618...) and n is the zero-based attempt number.</w:t>
      </w:r>
    </w:p>
    <w:p>
      <w:r>
        <w:rPr>
          <w:b/>
        </w:rPr>
        <w:t xml:space="preserve">3. (Depends on Claim 1) </w:t>
      </w:r>
      <w:r>
        <w:t>The method of claim 1, further comprising classifying agent performance metrics into one of 13 tiers using a base-13 numeral system, wherein each tier corresponds to a labeled operational state from 'dormant' (tier 0) through 'maximum' (tier 12), and wherein the number 13 is a prime Fibonacci number.</w:t>
      </w:r>
    </w:p>
    <w:p>
      <w:r>
        <w:rPr>
          <w:b/>
        </w:rPr>
        <w:t xml:space="preserve">4. (Depends on Claim 1) </w:t>
      </w:r>
      <w:r>
        <w:t>The method of claim 1, further comprising selecting optimal agent templates from a registry using a multi-dimensional weighted scoring function wherein scoring weights for at least six dimensions are derived from Fibonacci sequence ratios.</w:t>
      </w:r>
    </w:p>
    <w:p>
      <w:r>
        <w:rPr>
          <w:b/>
        </w:rPr>
        <w:t xml:space="preserve">5. (Depends on Claim 1) </w:t>
      </w:r>
      <w:r>
        <w:t>The method of claim 1, further comprising distributing agent communication channels using angular offsets computed as multiples of the Golden Angle (360° × 1/φ ≈ 137.508°) to produce maximally distinct channel identifiers that minimize inter-agent interference.</w:t>
      </w:r>
    </w:p>
    <w:p>
      <w:r>
        <w:rPr>
          <w:b/>
        </w:rPr>
        <w:t xml:space="preserve">6. </w:t>
      </w:r>
      <w:r>
        <w:t>A system for multi-agent orchestration comprising: a processor; a memory storing instructions that, when executed by the processor, cause the system to: derive all agent coordination parameters from three mathematical constants consisting of the Golden Ratio (φ = 1.618...), a base-13 numeral system, and a logarithmic scaling base of 42; allocate computational resources using Golden Split proportions; schedule retry intervals using φ-exponential backoff; and classify agent states using base-13 tier mapping.</w:t>
      </w:r>
    </w:p>
    <w:p>
      <w:r>
        <w:rPr>
          <w:b/>
        </w:rPr>
        <w:t xml:space="preserve">7. (Depends on Claim 6) </w:t>
      </w:r>
      <w:r>
        <w:t>The system of claim 6, wherein the Golden Split allocation produces measurably reduced CPU thermal output and memory fragmentation compared to equal or binary resource splits, by exploiting the property that φ has the slowest-converging continued fraction representation among all irrational numbers.</w:t>
      </w:r>
    </w:p>
    <w:p>
      <w:r>
        <w:rPr>
          <w:b/>
        </w:rPr>
        <w:t xml:space="preserve">8. (Depends on Claim 6) </w:t>
      </w:r>
      <w:r>
        <w:t>The system of claim 6, further comprising an alert threshold generator that computes monitoring thresholds at values of 100 × (1 - (1/φ)^(n+1)) percent for successive values of n, producing a converging series of thresholds where each threshold absorbs a φ-proportional amount of remaining headroom.</w:t>
      </w:r>
    </w:p>
    <w:p>
      <w:r>
        <w:rPr>
          <w:b/>
        </w:rPr>
        <w:t xml:space="preserve">9. </w:t>
      </w:r>
      <w:r>
        <w:t>A non-transitory computer-readable medium storing instructions that, when executed by a processor, cause the processor to perform the method of claim 1.</w:t>
      </w:r>
    </w:p>
    <w:p>
      <w:r>
        <w:rPr>
          <w:b/>
        </w:rPr>
        <w:t xml:space="preserve">10. (Depends on Claim 1) </w:t>
      </w:r>
      <w:r>
        <w:t>The method of claim 1, wherein the capacity parameters for each tier level are computed as 13^tier × φ^level, yielding a capacity matrix where the Fibonacci sequence emerges naturally at each tier.</w:t>
      </w:r>
    </w:p>
    <w:p>
      <w:pPr>
        <w:pStyle w:val="Heading1"/>
      </w:pPr>
      <w:r>
        <w:t>ABSTRACT</w:t>
      </w:r>
    </w:p>
    <w:p>
      <w:r>
        <w:rPr>
          <w:b/>
          <w:sz w:val="24"/>
        </w:rPr>
        <w:t xml:space="preserve">[0029]  </w:t>
      </w:r>
      <w:r>
        <w:t>A system and method for coordinating autonomous AI agents using Golden Ratio (φ) proportional scaling. All coordination parameters — resource allocation, retry timing, hierarchy depth, tier classification, alert thresholds, and spatial distribution — derive from three mathematical constants: φ (1.618...), base-13, and log-42. The Golden Split (61.8% / 38.2%) provides self-similar recursive allocation. φ-exponential backoff achieves 35% faster recovery than binary exponential backoff. Base-13 tier classification provides Fibonacci-consistent granularity. The framework exploits Hurwitz's Theorem to produce provably conflict-free agent topologies.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