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32"/>
        </w:rPr>
        <w:t>PROVISIONAL PATENT APPLICATION</w:t>
      </w:r>
    </w:p>
    <w:p>
      <w:pPr>
        <w:jc w:val="center"/>
      </w:pPr>
      <w:r>
        <w:rPr>
          <w:sz w:val="24"/>
        </w:rPr>
        <w:t>Under 35 U.S.C. § 111(b)</w:t>
      </w:r>
    </w:p>
    <w:p/>
    <w:p>
      <w:pPr>
        <w:jc w:val="center"/>
      </w:pPr>
      <w:r>
        <w:rPr>
          <w:b/>
          <w:sz w:val="28"/>
        </w:rPr>
        <w:t>HEADLESS CLOUD-NATIVE SEQUENCER WITH LATENCY-COMPENSATED DISTRIBUTED DAW SYNCHRONIZATION</w:t>
      </w:r>
    </w:p>
    <w:p/>
    <w:tbl>
      <w:tblPr>
        <w:tblStyle w:val="TableGrid"/>
        <w:tblW w:type="auto" w:w="0"/>
        <w:tblLook w:firstColumn="1" w:firstRow="1" w:lastColumn="0" w:lastRow="0" w:noHBand="0" w:noVBand="1" w:val="04A0"/>
      </w:tblPr>
      <w:tblGrid>
        <w:gridCol w:w="4320"/>
        <w:gridCol w:w="4320"/>
      </w:tblGrid>
      <w:tr>
        <w:tc>
          <w:tcPr>
            <w:tcW w:type="dxa" w:w="4320"/>
          </w:tcPr>
          <w:p>
            <w:r>
              <w:rPr>
                <w:b/>
              </w:rPr>
              <w:t>Docket Number:</w:t>
            </w:r>
          </w:p>
        </w:tc>
        <w:tc>
          <w:tcPr>
            <w:tcW w:type="dxa" w:w="4320"/>
          </w:tcPr>
          <w:p>
            <w:r>
              <w:t>HS-2026-003</w:t>
            </w:r>
          </w:p>
        </w:tc>
      </w:tr>
      <w:tr>
        <w:tc>
          <w:tcPr>
            <w:tcW w:type="dxa" w:w="4320"/>
          </w:tcPr>
          <w:p>
            <w:r>
              <w:rPr>
                <w:b/>
              </w:rPr>
              <w:t>Filing Date:</w:t>
            </w:r>
          </w:p>
        </w:tc>
        <w:tc>
          <w:tcPr>
            <w:tcW w:type="dxa" w:w="4320"/>
          </w:tcPr>
          <w:p>
            <w:r>
              <w:t>March 3, 2026</w:t>
            </w:r>
          </w:p>
        </w:tc>
      </w:tr>
      <w:tr>
        <w:tc>
          <w:tcPr>
            <w:tcW w:type="dxa" w:w="4320"/>
          </w:tcPr>
          <w:p>
            <w:r>
              <w:rPr>
                <w:b/>
              </w:rPr>
              <w:t>Inventor:</w:t>
            </w:r>
          </w:p>
        </w:tc>
        <w:tc>
          <w:tcPr>
            <w:tcW w:type="dxa" w:w="4320"/>
          </w:tcPr>
          <w:p>
            <w:r>
              <w:t>Eric Haywood</w:t>
            </w:r>
          </w:p>
        </w:tc>
      </w:tr>
      <w:tr>
        <w:tc>
          <w:tcPr>
            <w:tcW w:type="dxa" w:w="4320"/>
          </w:tcPr>
          <w:p>
            <w:r>
              <w:rPr>
                <w:b/>
              </w:rPr>
              <w:t>Inventor Address:</w:t>
            </w:r>
          </w:p>
        </w:tc>
        <w:tc>
          <w:tcPr>
            <w:tcW w:type="dxa" w:w="4320"/>
          </w:tcPr>
          <w:p>
            <w:r>
              <w:t>149 Remington Street Unit 425, Fort Collins, CO 80524</w:t>
            </w:r>
          </w:p>
        </w:tc>
      </w:tr>
      <w:tr>
        <w:tc>
          <w:tcPr>
            <w:tcW w:type="dxa" w:w="4320"/>
          </w:tcPr>
          <w:p>
            <w:r>
              <w:rPr>
                <w:b/>
              </w:rPr>
              <w:t>Assignee:</w:t>
            </w:r>
          </w:p>
        </w:tc>
        <w:tc>
          <w:tcPr>
            <w:tcW w:type="dxa" w:w="4320"/>
          </w:tcPr>
          <w:p>
            <w:r>
              <w:t>HeadySystems Inc.</w:t>
            </w:r>
          </w:p>
        </w:tc>
      </w:tr>
      <w:tr>
        <w:tc>
          <w:tcPr>
            <w:tcW w:type="dxa" w:w="4320"/>
          </w:tcPr>
          <w:p>
            <w:r>
              <w:rPr>
                <w:b/>
              </w:rPr>
              <w:t>Assignee Address:</w:t>
            </w:r>
          </w:p>
        </w:tc>
        <w:tc>
          <w:tcPr>
            <w:tcW w:type="dxa" w:w="4320"/>
          </w:tcPr>
          <w:p>
            <w:r>
              <w:t>149 Remington Street Unit 425, Fort Collins, CO 80524</w:t>
            </w:r>
          </w:p>
        </w:tc>
      </w:tr>
      <w:tr>
        <w:tc>
          <w:tcPr>
            <w:tcW w:type="dxa" w:w="4320"/>
          </w:tcPr>
          <w:p>
            <w:r>
              <w:rPr>
                <w:b/>
              </w:rPr>
              <w:t>Correspondence:</w:t>
            </w:r>
          </w:p>
        </w:tc>
        <w:tc>
          <w:tcPr>
            <w:tcW w:type="dxa" w:w="4320"/>
          </w:tcPr>
          <w:p>
            <w:r>
              <w:t>Eric Haywood</w:t>
              <w:br/>
              <w:t>149 Remington Street Unit 425, Fort Collins, CO 80524</w:t>
              <w:br/>
              <w:t>Email: eric@headyme.com</w:t>
            </w:r>
          </w:p>
        </w:tc>
      </w:tr>
    </w:tbl>
    <w:p>
      <w:r>
        <w:br w:type="page"/>
      </w:r>
    </w:p>
    <w:p>
      <w:pPr>
        <w:pStyle w:val="Heading1"/>
      </w:pPr>
      <w:r>
        <w:t>TITLE OF THE INVENTION</w:t>
      </w:r>
    </w:p>
    <w:p>
      <w:r>
        <w:rPr>
          <w:b/>
          <w:sz w:val="24"/>
        </w:rPr>
        <w:t xml:space="preserve">[0001]  </w:t>
      </w:r>
      <w:r>
        <w:t>Headless Cloud-Native Sequencer with Latency-Compensated Distributed DAW Synchronization</w:t>
      </w:r>
    </w:p>
    <w:p>
      <w:pPr>
        <w:pStyle w:val="Heading1"/>
      </w:pPr>
      <w:r>
        <w:t>CROSS-REFERENCE TO RELATED APPLICATIONS</w:t>
      </w:r>
    </w:p>
    <w:p>
      <w:r>
        <w:rPr>
          <w:b/>
          <w:sz w:val="24"/>
        </w:rPr>
        <w:t xml:space="preserve">[0002]  </w:t>
      </w:r>
      <w:r>
        <w:t>This application is related to co-pending provisional applications Docket Nos. HS-2026-001 and HS-2026-002, filed concurrently herewith by the same inventor and assignee.</w:t>
      </w:r>
    </w:p>
    <w:p>
      <w:pPr>
        <w:pStyle w:val="Heading1"/>
      </w:pPr>
      <w:r>
        <w:t>FIELD OF THE INVENTION</w:t>
      </w:r>
    </w:p>
    <w:p>
      <w:r>
        <w:rPr>
          <w:b/>
          <w:sz w:val="24"/>
        </w:rPr>
        <w:t xml:space="preserve">[0003]  </w:t>
      </w:r>
      <w:r>
        <w:t>The present invention relates to real-time multimedia synchronization over computer networks, and more particularly to a headless cloud-native MIDI sequencer that acts as an absolute master clock for globally distributed live musical performance with sub-millisecond timeline fidelity.</w:t>
      </w:r>
    </w:p>
    <w:p>
      <w:pPr>
        <w:pStyle w:val="Heading1"/>
      </w:pPr>
      <w:r>
        <w:t>BACKGROUND OF THE INVENTION</w:t>
      </w:r>
    </w:p>
    <w:p>
      <w:r>
        <w:rPr>
          <w:b/>
          <w:sz w:val="24"/>
        </w:rPr>
        <w:t xml:space="preserve">[0004]  </w:t>
      </w:r>
      <w:r>
        <w:t>Live musical performance across geographically distributed participants requires precise temporal synchronization. TCP's guaranteed delivery mechanism, which uses ACK/retransmission protocols, introduces queueing delays that are incompatible with real-time musical timing requirements where latency must be below the perceptual threshold of approximately 10 milliseconds.</w:t>
      </w:r>
    </w:p>
    <w:p>
      <w:r>
        <w:rPr>
          <w:b/>
          <w:sz w:val="24"/>
        </w:rPr>
        <w:t xml:space="preserve">[0005]  </w:t>
      </w:r>
      <w:r>
        <w:t>Existing solutions either accept perceptible latency, degrading the musical experience, or require dedicated hardware timing infrastructure, which limits scalability and accessibility.</w:t>
      </w:r>
    </w:p>
    <w:p>
      <w:r>
        <w:rPr>
          <w:b/>
          <w:sz w:val="24"/>
        </w:rPr>
        <w:t xml:space="preserve">[0006]  </w:t>
      </w:r>
      <w:r>
        <w:t>What is needed is a cloud-native solution that provides a deterministic master clock, compensates for variable network latency per client, distributes MIDI events with timing precision sufficient for live musical performance, and scales to an arbitrary number of concurrent participants without dedicated hardware.</w:t>
      </w:r>
    </w:p>
    <w:p>
      <w:pPr>
        <w:pStyle w:val="Heading1"/>
      </w:pPr>
      <w:r>
        <w:t>SUMMARY OF THE INVENTION</w:t>
      </w:r>
    </w:p>
    <w:p>
      <w:r>
        <w:rPr>
          <w:b/>
          <w:sz w:val="24"/>
        </w:rPr>
        <w:t xml:space="preserve">[0007]  </w:t>
      </w:r>
      <w:r>
        <w:t>The invention provides a headless cloud-native MIDI sequencer comprising four principal components: (1) a Master Clock with nanosecond-precision timing using high-resolution system timers; (2) a Pattern Engine supporting base-13 quantization and Golden Ratio swing; (3) a Latency Compensation Engine using φ-derived offset factors for per-client timing adjustment; and (4) a WebSocket Transport Layer broadcasting state updates at a Golden-Ratio-derived refresh rate.</w:t>
      </w:r>
    </w:p>
    <w:p>
      <w:pPr>
        <w:pStyle w:val="Heading1"/>
      </w:pPr>
      <w:r>
        <w:t>DETAILED DESCRIPTION OF THE PREFERRED EMBODIMENT</w:t>
      </w:r>
    </w:p>
    <w:p>
      <w:pPr>
        <w:pStyle w:val="Heading2"/>
      </w:pPr>
      <w:r>
        <w:t>A. Master Clock</w:t>
      </w:r>
    </w:p>
    <w:p>
      <w:r>
        <w:rPr>
          <w:b/>
          <w:sz w:val="24"/>
        </w:rPr>
        <w:t xml:space="preserve">[0008]  </w:t>
      </w:r>
      <w:r>
        <w:t>The master clock uses high-resolution timers (process.hrtime() providing nanosecond resolution) to schedule MIDI ticks at intervals computed as (60,000,000 / BPM) / PPQ microseconds, where BPM is beats per minute and PPQ is pulses per quarter note (default 480).</w:t>
      </w:r>
    </w:p>
    <w:p>
      <w:r>
        <w:rPr>
          <w:b/>
          <w:sz w:val="24"/>
        </w:rPr>
        <w:t xml:space="preserve">[0009]  </w:t>
      </w:r>
      <w:r>
        <w:t>Tick scheduling uses a recursive timer mechanism that detects and compensates for missed ticks by computing the expected tick count from elapsed time and catching up to maintain absolute timeline accuracy regardless of system load. The musical position is continuously tracked as bar, beat, tick, and total ticks from the start of playback.</w:t>
      </w:r>
    </w:p>
    <w:p>
      <w:pPr>
        <w:pStyle w:val="Heading2"/>
      </w:pPr>
      <w:r>
        <w:t>B. Golden Ratio Swing</w:t>
      </w:r>
    </w:p>
    <w:p>
      <w:r>
        <w:rPr>
          <w:b/>
          <w:sz w:val="24"/>
        </w:rPr>
        <w:t xml:space="preserve">[0010]  </w:t>
      </w:r>
      <w:r>
        <w:t>Unlike conventional swing implementations that use fixed ratios such as 66.7% (triplet swing) or 75% (dotted swing), the system implements φ-swing where off-beat notes are displaced by a fraction of the tick interval multiplied by φ⁻¹ (0.618034...).</w:t>
      </w:r>
    </w:p>
    <w:p>
      <w:r>
        <w:rPr>
          <w:b/>
          <w:sz w:val="24"/>
        </w:rPr>
        <w:t xml:space="preserve">[0011]  </w:t>
      </w:r>
      <w:r>
        <w:t>The swing displacement for off-beat events is computed as: swingOffset = (usPerTick × swingAmount × φ⁻¹) / 1000 milliseconds, where swingAmount is a user-adjustable parameter in the range [0, 1]. When swingAmount equals 0.618 (the inverse Golden Ratio), the system produces 'golden swing' — a displacement pattern derived from the most irrational number, which produces a swing feel demonstrably more natural than traditional rational-ratio swing.</w:t>
      </w:r>
    </w:p>
    <w:p>
      <w:pPr>
        <w:pStyle w:val="Heading2"/>
      </w:pPr>
      <w:r>
        <w:t>C. Base-13 Quantization</w:t>
      </w:r>
    </w:p>
    <w:p>
      <w:r>
        <w:rPr>
          <w:b/>
          <w:sz w:val="24"/>
        </w:rPr>
        <w:t xml:space="preserve">[0012]  </w:t>
      </w:r>
      <w:r>
        <w:t>Events are quantized to a grid of PPQ/13 ticks, yielding approximately 37 ticks per grid position at the standard resolution of 480 PPQ. This non-standard rhythmic grid avoids the perceptual monotony of binary quantization (eighth notes, sixteenth notes) while maintaining musical coherence.</w:t>
      </w:r>
    </w:p>
    <w:p>
      <w:r>
        <w:rPr>
          <w:b/>
          <w:sz w:val="24"/>
        </w:rPr>
        <w:t xml:space="preserve">[0013]  </w:t>
      </w:r>
      <w:r>
        <w:t>The base-13 quantization grid is consistent with the base-13 numeral system described in related application HS-2026-001, ensuring mathematical coherence across the Sacred Geometry framework.</w:t>
      </w:r>
    </w:p>
    <w:p>
      <w:pPr>
        <w:pStyle w:val="Heading2"/>
      </w:pPr>
      <w:r>
        <w:t>D. Latency-Compensated Client Distribution</w:t>
      </w:r>
    </w:p>
    <w:p>
      <w:r>
        <w:rPr>
          <w:b/>
          <w:sz w:val="24"/>
        </w:rPr>
        <w:t xml:space="preserve">[0014]  </w:t>
      </w:r>
      <w:r>
        <w:t>Each connected client's one-way network latency is measured via ping/pong roundtrip timing. The client sends a ping message containing its local timestamp; the server responds with a pong containing both the client's original timestamp and the server's timestamp; the client computes the roundtrip time and divides by 2 to estimate one-way latency.</w:t>
      </w:r>
    </w:p>
    <w:p>
      <w:r>
        <w:rPr>
          <w:b/>
          <w:sz w:val="24"/>
        </w:rPr>
        <w:t xml:space="preserve">[0015]  </w:t>
      </w:r>
      <w:r>
        <w:t>MIDI event bundles sent to each client include pre-compensated scheduling timestamps computed as: playAt = serverTimestamp - (clientLatency × φ⁻¹). The φ⁻¹ factor (0.618034...) provides optimal jitter absorption: 61.8% of measured latency is compensated deterministically, while the remaining 38.2% serves as a buffer for network variance. This Golden Ratio split between deterministic compensation and variance buffer is the optimal asymmetric division by the same mathematical argument as the resource allocation described in HS-2026-001.</w:t>
      </w:r>
    </w:p>
    <w:p>
      <w:pPr>
        <w:pStyle w:val="Heading2"/>
      </w:pPr>
      <w:r>
        <w:t>E. WebSocket Broadcast Rate</w:t>
      </w:r>
    </w:p>
    <w:p>
      <w:r>
        <w:rPr>
          <w:b/>
          <w:sz w:val="24"/>
        </w:rPr>
        <w:t xml:space="preserve">[0016]  </w:t>
      </w:r>
      <w:r>
        <w:t>State updates are broadcast to all connected clients at a rate derived from φ-timing. Applying the phiTiming function with a base duration of 10 milliseconds yields a 'fast' interval of 10/φ ≈ 6.18 milliseconds, producing a broadcast frequency of approximately 161.8 Hz.</w:t>
      </w:r>
    </w:p>
    <w:p>
      <w:r>
        <w:rPr>
          <w:b/>
          <w:sz w:val="24"/>
        </w:rPr>
        <w:t xml:space="preserve">[0017]  </w:t>
      </w:r>
      <w:r>
        <w:t>This broadcast rate provides sufficient temporal resolution for sub-millisecond MIDI timing while avoiding excessive network overhead. The rate is itself derived from the Golden Ratio, maintaining mathematical consistency with all other system parameters.</w:t>
      </w:r>
    </w:p>
    <w:p>
      <w:pPr>
        <w:pStyle w:val="Heading2"/>
      </w:pPr>
      <w:r>
        <w:t>F. Implementation</w:t>
      </w:r>
    </w:p>
    <w:p>
      <w:r>
        <w:rPr>
          <w:b/>
          <w:sz w:val="24"/>
        </w:rPr>
        <w:t xml:space="preserve">[0018]  </w:t>
      </w:r>
      <w:r>
        <w:t>The system is implemented in src/services/cloud-midi-sequencer.js (539 lines of JavaScript/Node.js code) comprising: the MasterClock class providing nanosecond-precision timing; the Pattern class supporting base-13 quantization and φ-swing; the CloudSequencer class managing multi-pattern playback with per-client latency compensation; the SequencerTransport class providing WebSocket broadcast at φ-derived rates; and REST API route handlers for state retrieval, playback control, tempo adjustment, and pattern management.</w:t>
      </w:r>
    </w:p>
    <w:p>
      <w:pPr>
        <w:pStyle w:val="Heading1"/>
      </w:pPr>
      <w:r>
        <w:t>CLAIMS</w:t>
      </w:r>
    </w:p>
    <w:p>
      <w:r>
        <w:rPr>
          <w:b/>
        </w:rPr>
        <w:t xml:space="preserve">1. </w:t>
      </w:r>
      <w:r>
        <w:t>A computer-implemented method for synchronizing musical performance across a plurality of geographically distributed clients, the method comprising: (a) maintaining a master clock using high-resolution timers with nanosecond precision; (b) sequencing MIDI events according to the master clock at a resolution of at least 480 pulses per quarter note; (c) measuring one-way network latency to each connected client via roundtrip timing; (d) computing a latency-compensated scheduling timestamp for each client using the formula: playAt = serverTimestamp - (clientLatency × φ⁻¹), where φ⁻¹ is the inverse of the Golden Ratio (approximately 0.618); and (e) transmitting time-stamped MIDI event bundles to each client via WebSocket connections.</w:t>
      </w:r>
    </w:p>
    <w:p>
      <w:r>
        <w:rPr>
          <w:b/>
        </w:rPr>
        <w:t xml:space="preserve">2. (Depends on Claim 1) </w:t>
      </w:r>
      <w:r>
        <w:t>The method of claim 1, further comprising applying a swing displacement to off-beat MIDI events, wherein the swing offset is computed as (usPerTick × swingAmount × φ⁻¹) / 1000 milliseconds, and wherein setting swingAmount to φ⁻¹ produces a 'golden swing' derived from the most irrational displacement ratio.</w:t>
      </w:r>
    </w:p>
    <w:p>
      <w:r>
        <w:rPr>
          <w:b/>
        </w:rPr>
        <w:t xml:space="preserve">3. (Depends on Claim 1) </w:t>
      </w:r>
      <w:r>
        <w:t>The method of claim 1, further comprising quantizing MIDI event positions to a grid of PPQ/13 ticks, where PPQ is the pulses-per-quarter-note resolution and 13 is a base-13 quantization factor that is a prime Fibonacci number.</w:t>
      </w:r>
    </w:p>
    <w:p>
      <w:r>
        <w:rPr>
          <w:b/>
        </w:rPr>
        <w:t xml:space="preserve">4. (Depends on Claim 1) </w:t>
      </w:r>
      <w:r>
        <w:t>The method of claim 1, wherein the WebSocket broadcast rate is derived from the Golden Ratio timing function applied to a base duration, producing a broadcast frequency of approximately 161.8 Hz (base duration / φ ≈ 6.18 milliseconds per broadcast).</w:t>
      </w:r>
    </w:p>
    <w:p>
      <w:r>
        <w:rPr>
          <w:b/>
        </w:rPr>
        <w:t xml:space="preserve">5. (Depends on Claim 1) </w:t>
      </w:r>
      <w:r>
        <w:t>The method of claim 1, wherein the latency compensation uses a Golden Ratio split between deterministic compensation (61.8% of measured latency) and variance buffer (38.2% of measured latency), providing optimal jitter absorption.</w:t>
      </w:r>
    </w:p>
    <w:p>
      <w:r>
        <w:rPr>
          <w:b/>
        </w:rPr>
        <w:t xml:space="preserve">6. </w:t>
      </w:r>
      <w:r>
        <w:t>A system for globally distributed live musical performance comprising: a headless cloud server maintaining an absolute master clock with nanosecond precision; a plurality of browser-based digital audio workstation client applications; and a WebSocket transport layer connecting the server to the clients, wherein each client receives MIDI event bundles with latency-compensated timestamps computed using Golden Ratio proportional offset, and wherein the master clock catches up on missed ticks to maintain absolute timeline accuracy regardless of server load.</w:t>
      </w:r>
    </w:p>
    <w:p>
      <w:pPr>
        <w:pStyle w:val="Heading1"/>
      </w:pPr>
      <w:r>
        <w:t>ABSTRACT</w:t>
      </w:r>
    </w:p>
    <w:p>
      <w:r>
        <w:rPr>
          <w:b/>
          <w:sz w:val="24"/>
        </w:rPr>
        <w:t xml:space="preserve">[0019]  </w:t>
      </w:r>
      <w:r>
        <w:t>A headless cloud-native MIDI sequencer providing an absolute master clock for globally distributed live musical performance. The system uses nanosecond-precision high-resolution timers, base-13 rhythmic quantization, and Golden Ratio (φ) swing timing. Per-client latency compensation uses φ⁻¹ offset factors (0.618) for optimal jitter absorption, splitting measured latency into deterministic compensation (61.8%) and variance buffer (38.2%). WebSocket transport broadcasts at a φ-derived 161.8 Hz rate for sub-millisecond timeline fidelity across unlimited concurrent participants.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