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Heady Compliance Remediation Package</w:t>
      </w:r>
    </w:p>
    <w:p>
      <w:pPr>
        <w:jc w:val="center"/>
      </w:pPr>
      <w:r>
        <w:rPr>
          <w:b/>
        </w:rPr>
        <w:t>Prepared for Eric / HeadyConnection and HeadySystems</w:t>
        <w:br/>
      </w:r>
      <w:r>
        <w:t>Generated: 2026-03-07 07:00 UTC</w:t>
      </w:r>
    </w:p>
    <w:p>
      <w:r>
        <w:rPr>
          <w:b/>
        </w:rPr>
        <w:t xml:space="preserve">Important: </w:t>
      </w:r>
      <w:r>
        <w:t>This package is operational drafting support, not legal advice. It is designed to accelerate remediation and documentation based on publicly reviewed repository evidence and official legal sources.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current public repository posture is not yet ready for a consumer-facing compliance claim because public documentation reveals sensitive service inventory details, deployment governance remains too permissive, and required privacy-rights documentation is incomplete.</w:t>
      </w:r>
    </w:p>
    <w:p>
      <w:pPr>
        <w:pStyle w:val="ListBullet"/>
      </w:pPr>
      <w:r>
        <w:t>The highest-priority actions are to remove public secret inventory references, tighten deployment gates, reduce overexposure in authentication and onboarding responses, publish public-facing privacy and terms materials, and formalize retention, incident response, and data subject request procedures.</w:t>
      </w:r>
    </w:p>
    <w:p>
      <w:pPr>
        <w:pStyle w:val="ListBullet"/>
      </w:pPr>
      <w:r>
        <w:t>This package includes a remediation report, draft Privacy Policy, draft Terms of Service, Data Retention Schedule, DSAR Procedure, Incident and Breach Response Runbook, a vendor and subprocessors register, and a repo-by-repo remediation checklist.</w:t>
      </w:r>
    </w:p>
    <w:p>
      <w:pPr>
        <w:pStyle w:val="Heading1"/>
      </w:pPr>
      <w:r>
        <w:t>Key repository findings</w:t>
      </w:r>
    </w:p>
    <w:p>
      <w:pPr>
        <w:pStyle w:val="ListBullet"/>
      </w:pPr>
      <w:r>
        <w:rPr>
          <w:b/>
        </w:rPr>
        <w:t xml:space="preserve">Public secret and service inventory references: </w:t>
      </w:r>
      <w:r>
        <w:t xml:space="preserve">Public docs enumerate active services and required secret variables, increasing attacker reconnaissance value. </w:t>
      </w:r>
      <w:hyperlink r:id="rId9">
        <w:r>
          <w:rPr>
            <w:color w:val="20808D"/>
            <w:u w:val="single"/>
          </w:rPr>
          <w:t>Repository evidence</w:t>
        </w:r>
      </w:hyperlink>
    </w:p>
    <w:p>
      <w:pPr>
        <w:pStyle w:val="ListBullet"/>
      </w:pPr>
      <w:r>
        <w:rPr>
          <w:b/>
        </w:rPr>
        <w:t xml:space="preserve">Permissive deployment workflow: </w:t>
      </w:r>
      <w:r>
        <w:t xml:space="preserve">The deployment pipeline auto-runs on main/master, allows unauthenticated Cloud Run deployment, and treats parts of the process as non-blocking. </w:t>
      </w:r>
      <w:hyperlink r:id="rId10">
        <w:r>
          <w:rPr>
            <w:color w:val="20808D"/>
            <w:u w:val="single"/>
          </w:rPr>
          <w:t>Repository evidence</w:t>
        </w:r>
      </w:hyperlink>
    </w:p>
    <w:p>
      <w:pPr>
        <w:pStyle w:val="ListBullet"/>
      </w:pPr>
      <w:r>
        <w:rPr>
          <w:b/>
        </w:rPr>
        <w:t xml:space="preserve">Registration response appears overbroad: </w:t>
      </w:r>
      <w:r>
        <w:t xml:space="preserve">The registration route appears to return tokens, heady email details, and API keys in the response body. </w:t>
      </w:r>
      <w:hyperlink r:id="rId11">
        <w:r>
          <w:rPr>
            <w:color w:val="20808D"/>
            <w:u w:val="single"/>
          </w:rPr>
          <w:t>Repository evidence</w:t>
        </w:r>
      </w:hyperlink>
    </w:p>
    <w:p>
      <w:pPr>
        <w:pStyle w:val="ListBullet"/>
      </w:pPr>
      <w:r>
        <w:rPr>
          <w:b/>
        </w:rPr>
        <w:t xml:space="preserve">Malformed domain registry entries: </w:t>
      </w:r>
      <w:r>
        <w:t xml:space="preserve">The service domain configuration mixes malformed hostnames and environment patterns, creating routing and policy integrity risk. </w:t>
      </w:r>
      <w:hyperlink r:id="rId12">
        <w:r>
          <w:rPr>
            <w:color w:val="20808D"/>
            <w:u w:val="single"/>
          </w:rPr>
          <w:t>Repository evidence</w:t>
        </w:r>
      </w:hyperlink>
    </w:p>
    <w:p>
      <w:pPr>
        <w:pStyle w:val="ListBullet"/>
      </w:pPr>
      <w:r>
        <w:rPr>
          <w:b/>
        </w:rPr>
        <w:t xml:space="preserve">Archived public repos retain implementation detail: </w:t>
      </w:r>
      <w:r>
        <w:t xml:space="preserve">Historical public archives remain visible and should be reviewed for residual reconnaissance value. </w:t>
      </w:r>
      <w:hyperlink r:id="rId13">
        <w:r>
          <w:rPr>
            <w:color w:val="20808D"/>
            <w:u w:val="single"/>
          </w:rPr>
          <w:t>Repository evidence</w:t>
        </w:r>
      </w:hyperlink>
    </w:p>
    <w:p>
      <w:pPr>
        <w:pStyle w:val="Heading1"/>
      </w:pPr>
      <w:r>
        <w:t>Legal baseline used in this package</w:t>
      </w:r>
    </w:p>
    <w:p>
      <w:pPr>
        <w:pStyle w:val="ListBullet"/>
      </w:pPr>
      <w:r>
        <w:rPr>
          <w:b/>
        </w:rPr>
        <w:t xml:space="preserve">GDPR Articles 12, 13, and 14: </w:t>
      </w:r>
      <w:r>
        <w:t xml:space="preserve">Require transparent notices and prescribed disclosures about identity, purposes, lawful basis, retention, and rights. </w:t>
      </w:r>
      <w:hyperlink r:id="rId14">
        <w:r>
          <w:rPr>
            <w:color w:val="20808D"/>
            <w:u w:val="single"/>
          </w:rPr>
          <w:t>Official source</w:t>
        </w:r>
      </w:hyperlink>
    </w:p>
    <w:p>
      <w:pPr>
        <w:pStyle w:val="ListBullet"/>
      </w:pPr>
      <w:r>
        <w:rPr>
          <w:b/>
        </w:rPr>
        <w:t xml:space="preserve">GDPR Article 28: </w:t>
      </w:r>
      <w:r>
        <w:t xml:space="preserve">Requires controller-processor terms governing instructions, confidentiality, security, subprocessors, assistance, audit, and deletion/return. </w:t>
      </w:r>
      <w:hyperlink r:id="rId14">
        <w:r>
          <w:rPr>
            <w:color w:val="20808D"/>
            <w:u w:val="single"/>
          </w:rPr>
          <w:t>Official source</w:t>
        </w:r>
      </w:hyperlink>
    </w:p>
    <w:p>
      <w:pPr>
        <w:pStyle w:val="ListBullet"/>
      </w:pPr>
      <w:r>
        <w:rPr>
          <w:b/>
        </w:rPr>
        <w:t xml:space="preserve">GDPR Articles 30, 33, 34, 35, and 36: </w:t>
      </w:r>
      <w:r>
        <w:t xml:space="preserve">Cover records of processing, breach notification, and DPIA obligations for high-risk processing. </w:t>
      </w:r>
      <w:hyperlink r:id="rId14">
        <w:r>
          <w:rPr>
            <w:color w:val="20808D"/>
            <w:u w:val="single"/>
          </w:rPr>
          <w:t>Official source</w:t>
        </w:r>
      </w:hyperlink>
    </w:p>
    <w:p>
      <w:pPr>
        <w:pStyle w:val="ListBullet"/>
      </w:pPr>
      <w:r>
        <w:rPr>
          <w:b/>
        </w:rPr>
        <w:t xml:space="preserve">California Civil Code §§ 1798.100, 1798.105, 1798.106, 1798.120, 1798.121, 1798.130, and 1798.135: </w:t>
      </w:r>
      <w:r>
        <w:t xml:space="preserve">Cover notice at collection, access, deletion, correction, opt-out, limitation of sensitive PI use, and request handling. </w:t>
      </w:r>
      <w:hyperlink r:id="rId15">
        <w:r>
          <w:rPr>
            <w:color w:val="20808D"/>
            <w:u w:val="single"/>
          </w:rPr>
          <w:t>Official source</w:t>
        </w:r>
      </w:hyperlink>
    </w:p>
    <w:p>
      <w:pPr>
        <w:pStyle w:val="ListBullet"/>
      </w:pPr>
      <w:r>
        <w:rPr>
          <w:b/>
        </w:rPr>
        <w:t xml:space="preserve">Colorado Privacy Act overview: </w:t>
      </w:r>
      <w:r>
        <w:t xml:space="preserve">Highlights privacy notices, access/delete/correct rights, opt-out rights, universal opt-out, and data protection assessments. </w:t>
      </w:r>
      <w:hyperlink r:id="rId16">
        <w:r>
          <w:rPr>
            <w:color w:val="20808D"/>
            <w:u w:val="single"/>
          </w:rPr>
          <w:t>Official source</w:t>
        </w:r>
      </w:hyperlink>
    </w:p>
    <w:p>
      <w:pPr>
        <w:pStyle w:val="ListBullet"/>
      </w:pPr>
      <w:r>
        <w:rPr>
          <w:b/>
        </w:rPr>
        <w:t xml:space="preserve">NIST SP 800-61 Rev. 2: </w:t>
      </w:r>
      <w:r>
        <w:t xml:space="preserve">Provides the incident response lifecycle used in the runbook: preparation, detection and analysis, containment/eradication/recovery, and post-incident activity. </w:t>
      </w:r>
      <w:hyperlink r:id="rId17">
        <w:r>
          <w:rPr>
            <w:color w:val="20808D"/>
            <w:u w:val="single"/>
          </w:rPr>
          <w:t>Official source</w:t>
        </w:r>
      </w:hyperlink>
    </w:p>
    <w:p>
      <w:pPr>
        <w:pStyle w:val="Heading1"/>
      </w:pPr>
      <w:r>
        <w:t>Remediation priorities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Action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Target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Remove or hide public secret inventory docs and rotate any referenced credentials</w:t>
            </w:r>
          </w:p>
        </w:tc>
        <w:tc>
          <w:tcPr>
            <w:tcW w:type="dxa" w:w="2340"/>
          </w:tcPr>
          <w:p>
            <w:r>
              <w:t>Engineering + Security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Harden CI/CD gates and remove unauthenticated exposure unless intentionally public and protected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Publish privacy policy, terms, retention schedule, DSAR process, and notice-at-collection language</w:t>
            </w:r>
          </w:p>
        </w:tc>
        <w:tc>
          <w:tcPr>
            <w:tcW w:type="dxa" w:w="2340"/>
          </w:tcPr>
          <w:p>
            <w:r>
              <w:t>Legal/Operations</w:t>
            </w:r>
          </w:p>
        </w:tc>
        <w:tc>
          <w:tcPr>
            <w:tcW w:type="dxa" w:w="2340"/>
          </w:tcPr>
          <w:p>
            <w:r>
              <w:t>This cycle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Reduce auth response payloads and review onboarding, billing, and email flows for minimum necessary disclosure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This cycle</w:t>
            </w:r>
          </w:p>
        </w:tc>
      </w:tr>
      <w:tr>
        <w:tc>
          <w:tcPr>
            <w:tcW w:type="dxa" w:w="2340"/>
          </w:tcPr>
          <w:p>
            <w:r>
              <w:t>P2</w:t>
            </w:r>
          </w:p>
        </w:tc>
        <w:tc>
          <w:tcPr>
            <w:tcW w:type="dxa" w:w="2340"/>
          </w:tcPr>
          <w:p>
            <w:r>
              <w:t>Complete vendor register, processing records, and DPIA triggers for high-risk features</w:t>
            </w:r>
          </w:p>
        </w:tc>
        <w:tc>
          <w:tcPr>
            <w:tcW w:type="dxa" w:w="2340"/>
          </w:tcPr>
          <w:p>
            <w:r>
              <w:t>Operations</w:t>
            </w:r>
          </w:p>
        </w:tc>
        <w:tc>
          <w:tcPr>
            <w:tcW w:type="dxa" w:w="2340"/>
          </w:tcPr>
          <w:p>
            <w:r>
              <w:t>Next cycle</w:t>
            </w:r>
          </w:p>
        </w:tc>
      </w:tr>
    </w:tbl>
    <w:p/>
    <w:p>
      <w:pPr>
        <w:pStyle w:val="Heading1"/>
      </w:pPr>
      <w:r>
        <w:t>Included deliverables</w:t>
      </w:r>
    </w:p>
    <w:p>
      <w:pPr>
        <w:pStyle w:val="ListBullet"/>
      </w:pPr>
      <w:r>
        <w:t>01_Heady_Compliance_Remediation_Report.docx</w:t>
      </w:r>
    </w:p>
    <w:p>
      <w:pPr>
        <w:pStyle w:val="ListBullet"/>
      </w:pPr>
      <w:r>
        <w:t>02_Heady_Privacy_Policy_Draft.docx</w:t>
      </w:r>
    </w:p>
    <w:p>
      <w:pPr>
        <w:pStyle w:val="ListBullet"/>
      </w:pPr>
      <w:r>
        <w:t>03_Heady_Terms_of_Service_Draft.docx</w:t>
      </w:r>
    </w:p>
    <w:p>
      <w:pPr>
        <w:pStyle w:val="ListBullet"/>
      </w:pPr>
      <w:r>
        <w:t>04_Heady_Data_Retention_Schedule.docx</w:t>
      </w:r>
    </w:p>
    <w:p>
      <w:pPr>
        <w:pStyle w:val="ListBullet"/>
      </w:pPr>
      <w:r>
        <w:t>05_Heady_DSAR_Procedure.docx</w:t>
      </w:r>
    </w:p>
    <w:p>
      <w:pPr>
        <w:pStyle w:val="ListBullet"/>
      </w:pPr>
      <w:r>
        <w:t>06_Heady_Incident_and_Breach_Response_Runbook.docx</w:t>
      </w:r>
    </w:p>
    <w:p>
      <w:pPr>
        <w:pStyle w:val="ListBullet"/>
      </w:pPr>
      <w:r>
        <w:t>07_Heady_Vendor_and_Subprocessor_Register.xlsx</w:t>
      </w:r>
    </w:p>
    <w:p>
      <w:pPr>
        <w:pStyle w:val="ListBullet"/>
      </w:pPr>
      <w:r>
        <w:t>08_Heady_Repo_Remediation_Checklist.xlsx</w:t>
      </w:r>
    </w:p>
    <w:p>
      <w:pPr>
        <w:pStyle w:val="ListBullet"/>
      </w:pPr>
      <w:r>
        <w:t>README.txt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eadyMe/heady-docs/blob/main/api/api-keys-reference.md" TargetMode="External"/><Relationship Id="rId10" Type="http://schemas.openxmlformats.org/officeDocument/2006/relationships/hyperlink" Target="https://github.com/HeadyMe/Heady-pre-production-9f2f0642/blob/main/.github/workflows/deploy.yml" TargetMode="External"/><Relationship Id="rId11" Type="http://schemas.openxmlformats.org/officeDocument/2006/relationships/hyperlink" Target="https://github.com/HeadyMe/Heady-pre-production-9f2f0642/blob/main/src/auth/auth-routes.js" TargetMode="External"/><Relationship Id="rId12" Type="http://schemas.openxmlformats.org/officeDocument/2006/relationships/hyperlink" Target="https://github.com/HeadyMe/Heady-pre-production-9f2f0642/blob/main/configs/_domains/service-domains.yaml" TargetMode="External"/><Relationship Id="rId13" Type="http://schemas.openxmlformats.org/officeDocument/2006/relationships/hyperlink" Target="https://github.com/HeadySystems/Heady" TargetMode="External"/><Relationship Id="rId14" Type="http://schemas.openxmlformats.org/officeDocument/2006/relationships/hyperlink" Target="https://eur-lex.europa.eu/eli/reg/2016/679/oj/eng" TargetMode="External"/><Relationship Id="rId15" Type="http://schemas.openxmlformats.org/officeDocument/2006/relationships/hyperlink" Target="https://leginfo.legislature.ca.gov/faces/codes_displayText.xhtml?division=3.&amp;part=4.&amp;lawCode=CIV&amp;title=1.81.5" TargetMode="External"/><Relationship Id="rId16" Type="http://schemas.openxmlformats.org/officeDocument/2006/relationships/hyperlink" Target="https://coag.gov/resources/colorado-privacy-act/" TargetMode="External"/><Relationship Id="rId17" Type="http://schemas.openxmlformats.org/officeDocument/2006/relationships/hyperlink" Target="https://nvlpubs.nist.gov/nistpubs/SpecialPublications/NIST.SP.800-61r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