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Heady Privacy Policy Draft</w:t>
      </w:r>
    </w:p>
    <w:p>
      <w:r>
        <w:t>Draft for HeadyConnection / HeadySystems. Customize entity names, contact details, product names, and actual processing practices before publication.</w:t>
      </w:r>
    </w:p>
    <w:p>
      <w:pPr>
        <w:pStyle w:val="Heading1"/>
      </w:pPr>
      <w:r>
        <w:t>Who this policy applies to</w:t>
      </w:r>
    </w:p>
    <w:p>
      <w:r>
        <w:t>This policy applies to websites, applications, developer tools, APIs, support channels, and related services operated under the Heady brand by the applicable legal entity identified in the service-specific footer or notice.</w:t>
      </w:r>
    </w:p>
    <w:p>
      <w:pPr>
        <w:pStyle w:val="Heading1"/>
      </w:pPr>
      <w:r>
        <w:t>Information we collect</w:t>
      </w:r>
    </w:p>
    <w:p>
      <w:r>
        <w:t>We may collect account data, contact details, authentication identifiers, billing data, support communications, device and usage data, log and diagnostic information, and content submitted through the services. If a service uses AI features, submitted prompts, files, and outputs may be processed to provide the feature.</w:t>
      </w:r>
    </w:p>
    <w:p>
      <w:pPr>
        <w:pStyle w:val="Heading1"/>
      </w:pPr>
      <w:r>
        <w:t>How we use information</w:t>
      </w:r>
    </w:p>
    <w:p>
      <w:r>
        <w:t>We use personal data to provide and secure the services, authenticate users, process payments, respond to support requests, improve product performance, prevent abuse, meet legal obligations, and communicate service-related notices.</w:t>
      </w:r>
    </w:p>
    <w:p>
      <w:pPr>
        <w:pStyle w:val="Heading1"/>
      </w:pPr>
      <w:r>
        <w:t>Legal bases</w:t>
      </w:r>
    </w:p>
    <w:p>
      <w:r>
        <w:t>Where GDPR or similar laws apply, we rely on contract necessity, legitimate interests, consent where required, legal obligations, and other lawful bases as appropriate to the processing context.</w:t>
      </w:r>
    </w:p>
    <w:p>
      <w:pPr>
        <w:pStyle w:val="Heading1"/>
      </w:pPr>
      <w:r>
        <w:t>Sharing</w:t>
      </w:r>
    </w:p>
    <w:p>
      <w:r>
        <w:t>We may share information with infrastructure, hosting, analytics, error monitoring, payment, communications, and support vendors acting on our behalf under contractual restrictions. We may also share information where required by law or in connection with corporate transactions.</w:t>
      </w:r>
    </w:p>
    <w:p>
      <w:pPr>
        <w:pStyle w:val="Heading1"/>
      </w:pPr>
      <w:r>
        <w:t>Retention</w:t>
      </w:r>
    </w:p>
    <w:p>
      <w:r>
        <w:t>We retain data only as long as reasonably necessary for the purposes described, including legal, security, accounting, and dispute-resolution needs. See the internal retention schedule for operational periods by data type.</w:t>
      </w:r>
    </w:p>
    <w:p>
      <w:pPr>
        <w:pStyle w:val="Heading1"/>
      </w:pPr>
      <w:r>
        <w:t>Your rights</w:t>
      </w:r>
    </w:p>
    <w:p>
      <w:r>
        <w:t>Depending on your location, you may have rights to access, delete, correct, port, restrict, object, or opt out of certain processing. California and Colorado residents may have specific rights relating to sale/sharing, sensitive data, and universal opt-out signals. We will verify requests and respond within applicable timelines.</w:t>
      </w:r>
    </w:p>
    <w:p>
      <w:pPr>
        <w:pStyle w:val="Heading1"/>
      </w:pPr>
      <w:r>
        <w:t>Security</w:t>
      </w:r>
    </w:p>
    <w:p>
      <w:r>
        <w:t>We maintain administrative, technical, and organizational safeguards designed to protect personal information. No method of transmission or storage is fully secure.</w:t>
      </w:r>
    </w:p>
    <w:p>
      <w:pPr>
        <w:pStyle w:val="Heading1"/>
      </w:pPr>
      <w:r>
        <w:t>International transfers</w:t>
      </w:r>
    </w:p>
    <w:p>
      <w:r>
        <w:t>Where data is transferred across borders, we use appropriate safeguards where legally required.</w:t>
      </w:r>
    </w:p>
    <w:p>
      <w:pPr>
        <w:pStyle w:val="Heading1"/>
      </w:pPr>
      <w:r>
        <w:t>Children</w:t>
      </w:r>
    </w:p>
    <w:p>
      <w:r>
        <w:t>The services are not directed to children under the applicable minimum age without appropriate consent processes.</w:t>
      </w:r>
    </w:p>
    <w:p>
      <w:pPr>
        <w:pStyle w:val="Heading1"/>
      </w:pPr>
      <w:r>
        <w:t>Changes</w:t>
      </w:r>
    </w:p>
    <w:p>
      <w:r>
        <w:t>We may update this policy and will revise the effective date when material changes are made.</w:t>
      </w:r>
    </w:p>
    <w:p>
      <w:pPr>
        <w:pStyle w:val="Heading1"/>
      </w:pPr>
      <w:r>
        <w:t>Contact</w:t>
      </w:r>
    </w:p>
    <w:p>
      <w:r>
        <w:t>Add your privacy contact email, mailing address, and request submission method here.</w:t>
      </w:r>
    </w:p>
    <w:p>
      <w:pPr>
        <w:pStyle w:val="Heading1"/>
      </w:pPr>
      <w:r>
        <w:t>Authorities and sources used for drafting</w:t>
      </w:r>
    </w:p>
    <w:p>
      <w:pPr>
        <w:pStyle w:val="ListBullet"/>
      </w:pPr>
      <w:r>
        <w:t xml:space="preserve">GDPR transparency and rights provisions (Arts. 12-21) </w:t>
      </w:r>
      <w:hyperlink r:id="rId9">
        <w:r>
          <w:rPr>
            <w:color w:val="20808D"/>
            <w:u w:val="single"/>
          </w:rPr>
          <w:t>https://eur-lex.europa.eu/eli/reg/2016/679/oj/eng</w:t>
        </w:r>
      </w:hyperlink>
    </w:p>
    <w:p>
      <w:pPr>
        <w:pStyle w:val="ListBullet"/>
      </w:pPr>
      <w:r>
        <w:t xml:space="preserve">California notice and consumer rights provisions </w:t>
      </w:r>
      <w:hyperlink r:id="rId10">
        <w:r>
          <w:rPr>
            <w:color w:val="20808D"/>
            <w:u w:val="single"/>
          </w:rPr>
          <w:t>https://leginfo.legislature.ca.gov/faces/codes_displayText.xhtml?division=3.&amp;part=4.&amp;lawCode=CIV&amp;title=1.81.5</w:t>
        </w:r>
      </w:hyperlink>
    </w:p>
    <w:p>
      <w:pPr>
        <w:pStyle w:val="ListBullet"/>
      </w:pPr>
      <w:r>
        <w:t xml:space="preserve">Colorado Privacy Act overview </w:t>
      </w:r>
      <w:hyperlink r:id="rId11">
        <w:r>
          <w:rPr>
            <w:color w:val="20808D"/>
            <w:u w:val="single"/>
          </w:rPr>
          <w:t>https://coag.gov/resources/colorado-privacy-act/</w:t>
        </w:r>
      </w:hyperlink>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eur-lex.europa.eu/eli/reg/2016/679/oj/eng" TargetMode="External"/><Relationship Id="rId10" Type="http://schemas.openxmlformats.org/officeDocument/2006/relationships/hyperlink" Target="https://leginfo.legislature.ca.gov/faces/codes_displayText.xhtml?division=3.&amp;part=4.&amp;lawCode=CIV&amp;title=1.81.5" TargetMode="External"/><Relationship Id="rId11" Type="http://schemas.openxmlformats.org/officeDocument/2006/relationships/hyperlink" Target="https://coag.gov/resources/colorado-privacy-a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